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57150</wp:posOffset>
            </wp:positionV>
            <wp:extent cx="347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99060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35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14, 2024 (June 12, 2024)</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242570</wp:posOffset>
            </wp:positionV>
            <wp:extent cx="3471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60"/>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AMC Networks Inc.</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2"/>
        </w:trPr>
        <w:tc>
          <w:tcPr>
            <w:tcW w:w="2400" w:type="dxa"/>
            <w:vAlign w:val="bottom"/>
          </w:tcPr>
          <w:p>
            <w:pPr>
              <w:spacing w:after="0"/>
              <w:rPr>
                <w:sz w:val="18"/>
                <w:szCs w:val="18"/>
                <w:color w:val="auto"/>
              </w:rPr>
            </w:pPr>
          </w:p>
        </w:tc>
        <w:tc>
          <w:tcPr>
            <w:tcW w:w="7220" w:type="dxa"/>
            <w:vAlign w:val="bottom"/>
            <w:gridSpan w:val="4"/>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28"/>
        </w:trPr>
        <w:tc>
          <w:tcPr>
            <w:tcW w:w="240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r>
      <w:tr>
        <w:trPr>
          <w:trHeight w:val="387"/>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00" w:type="dxa"/>
            <w:vAlign w:val="bottom"/>
          </w:tcPr>
          <w:p>
            <w:pPr>
              <w:spacing w:after="0"/>
              <w:rPr>
                <w:sz w:val="24"/>
                <w:szCs w:val="24"/>
                <w:color w:val="auto"/>
              </w:rPr>
            </w:pPr>
          </w:p>
        </w:tc>
        <w:tc>
          <w:tcPr>
            <w:tcW w:w="314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3680" w:type="dxa"/>
            <w:vAlign w:val="bottom"/>
            <w:gridSpan w:val="2"/>
          </w:tcPr>
          <w:p>
            <w:pPr>
              <w:jc w:val="center"/>
              <w:ind w:left="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spacing w:after="0"/>
              <w:rPr>
                <w:sz w:val="12"/>
                <w:szCs w:val="12"/>
                <w:color w:val="auto"/>
              </w:rPr>
            </w:pPr>
          </w:p>
        </w:tc>
        <w:tc>
          <w:tcPr>
            <w:tcW w:w="3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spacing w:after="0"/>
              <w:rPr>
                <w:sz w:val="16"/>
                <w:szCs w:val="16"/>
                <w:color w:val="auto"/>
              </w:rPr>
            </w:pPr>
          </w:p>
        </w:tc>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w w:val="97"/>
              </w:rPr>
              <w:t>11 Penn Plaza,</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7"/>
        </w:trPr>
        <w:tc>
          <w:tcPr>
            <w:tcW w:w="36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800" w:type="dxa"/>
            <w:vAlign w:val="bottom"/>
          </w:tcPr>
          <w:p>
            <w:pPr>
              <w:spacing w:after="0"/>
              <w:rPr>
                <w:sz w:val="19"/>
                <w:szCs w:val="19"/>
                <w:color w:val="auto"/>
              </w:rPr>
            </w:pPr>
          </w:p>
        </w:tc>
        <w:tc>
          <w:tcPr>
            <w:tcW w:w="314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spacing w:after="0"/>
              <w:rPr>
                <w:sz w:val="16"/>
                <w:szCs w:val="16"/>
                <w:color w:val="auto"/>
              </w:rPr>
            </w:pPr>
          </w:p>
        </w:tc>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06"/>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2400" w:type="dxa"/>
            <w:vAlign w:val="bottom"/>
          </w:tcPr>
          <w:p>
            <w:pPr>
              <w:spacing w:after="0"/>
              <w:rPr>
                <w:sz w:val="16"/>
                <w:szCs w:val="16"/>
                <w:color w:val="auto"/>
              </w:rPr>
            </w:pPr>
          </w:p>
        </w:tc>
        <w:tc>
          <w:tcPr>
            <w:tcW w:w="7220" w:type="dxa"/>
            <w:vAlign w:val="bottom"/>
            <w:gridSpan w:val="4"/>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19"/>
        </w:trPr>
        <w:tc>
          <w:tcPr>
            <w:tcW w:w="2400" w:type="dxa"/>
            <w:vAlign w:val="bottom"/>
          </w:tcPr>
          <w:p>
            <w:pPr>
              <w:spacing w:after="0"/>
              <w:rPr>
                <w:sz w:val="24"/>
                <w:szCs w:val="24"/>
                <w:color w:val="auto"/>
              </w:rPr>
            </w:pPr>
          </w:p>
        </w:tc>
        <w:tc>
          <w:tcPr>
            <w:tcW w:w="7220" w:type="dxa"/>
            <w:vAlign w:val="bottom"/>
            <w:gridSpan w:val="4"/>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76"/>
        </w:trPr>
        <w:tc>
          <w:tcPr>
            <w:tcW w:w="3680" w:type="dxa"/>
            <w:vAlign w:val="bottom"/>
            <w:gridSpan w:val="2"/>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00" w:type="dxa"/>
            <w:vAlign w:val="bottom"/>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680" w:type="dxa"/>
            <w:vAlign w:val="bottom"/>
            <w:gridSpan w:val="2"/>
          </w:tcPr>
          <w:p>
            <w:pPr>
              <w:jc w:val="center"/>
              <w:ind w:right="345"/>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2800" w:type="dxa"/>
            <w:vAlign w:val="bottom"/>
          </w:tcPr>
          <w:p>
            <w:pPr>
              <w:jc w:val="center"/>
              <w:ind w:right="781"/>
              <w:spacing w:after="0"/>
              <w:rPr>
                <w:sz w:val="20"/>
                <w:szCs w:val="20"/>
                <w:color w:val="auto"/>
              </w:rPr>
            </w:pPr>
            <w:r>
              <w:rPr>
                <w:rFonts w:ascii="Times New Roman" w:cs="Times New Roman" w:eastAsia="Times New Roman" w:hAnsi="Times New Roman"/>
                <w:sz w:val="16"/>
                <w:szCs w:val="16"/>
                <w:color w:val="auto"/>
                <w:w w:val="99"/>
              </w:rPr>
              <w:t>AMCX</w:t>
            </w:r>
          </w:p>
        </w:tc>
        <w:tc>
          <w:tcPr>
            <w:tcW w:w="3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5"/>
        </w:trPr>
        <w:tc>
          <w:tcPr>
            <w:tcW w:w="24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r>
    </w:tbl>
    <w:p>
      <w:pPr>
        <w:spacing w:after="0" w:line="200" w:lineRule="exact"/>
        <w:rPr>
          <w:sz w:val="24"/>
          <w:szCs w:val="24"/>
          <w:color w:val="auto"/>
        </w:rPr>
      </w:pPr>
    </w:p>
    <w:p>
      <w:pPr>
        <w:spacing w:after="0" w:line="322"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94" w:lineRule="exact"/>
        <w:rPr>
          <w:sz w:val="20"/>
          <w:szCs w:val="20"/>
          <w:color w:val="auto"/>
        </w:rPr>
      </w:pPr>
    </w:p>
    <w:p>
      <w:pPr>
        <w:jc w:val="both"/>
        <w:ind w:firstLine="8"/>
        <w:spacing w:after="0" w:line="261" w:lineRule="auto"/>
        <w:tabs>
          <w:tab w:leader="none" w:pos="2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12, 2024, AMC Networks Inc. (the “Company”) held its 2024 annual meeting of stockholders. In accordance with the Company’s Amended and Restated Certificate of Incorporation, the Class A stockholders have one vote per share and the Class B stockholders have ten votes per share. The proposals are described in detail in the Company’s proxy statement for the 2024 Annual Meeting of Stockholders filed with the U.S. Securities and Exchange Commission on April 26, 2024.</w:t>
      </w:r>
    </w:p>
    <w:p>
      <w:pPr>
        <w:spacing w:after="0" w:line="39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voted on the matters set forth below. The final results for the votes regarding each proposal are set forth below.</w:t>
      </w:r>
    </w:p>
    <w:p>
      <w:pPr>
        <w:spacing w:after="0" w:line="200" w:lineRule="exact"/>
        <w:rPr>
          <w:sz w:val="20"/>
          <w:szCs w:val="20"/>
          <w:color w:val="auto"/>
        </w:rPr>
      </w:pPr>
    </w:p>
    <w:p>
      <w:pPr>
        <w:spacing w:after="0" w:line="255" w:lineRule="exact"/>
        <w:rPr>
          <w:sz w:val="20"/>
          <w:szCs w:val="20"/>
          <w:color w:val="auto"/>
        </w:rPr>
      </w:pPr>
    </w:p>
    <w:p>
      <w:pPr>
        <w:ind w:left="360" w:right="220" w:hanging="334"/>
        <w:spacing w:after="0" w:line="266"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elected the five directors listed below to the Board of Directors, each for a one-year term. The votes regarding this proposal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3920" w:type="dxa"/>
            <w:vAlign w:val="bottom"/>
            <w:vMerge w:val="restart"/>
          </w:tcPr>
          <w:p>
            <w:pPr>
              <w:ind w:left="2800"/>
              <w:spacing w:after="0"/>
              <w:rPr>
                <w:sz w:val="20"/>
                <w:szCs w:val="20"/>
                <w:color w:val="auto"/>
              </w:rPr>
            </w:pPr>
            <w:r>
              <w:rPr>
                <w:rFonts w:ascii="Times New Roman" w:cs="Times New Roman" w:eastAsia="Times New Roman" w:hAnsi="Times New Roman"/>
                <w:sz w:val="13"/>
                <w:szCs w:val="13"/>
                <w:color w:val="auto"/>
              </w:rPr>
              <w:t>For</w:t>
            </w:r>
          </w:p>
        </w:tc>
        <w:tc>
          <w:tcPr>
            <w:tcW w:w="1880" w:type="dxa"/>
            <w:vAlign w:val="bottom"/>
            <w:vMerge w:val="restart"/>
          </w:tcPr>
          <w:p>
            <w:pPr>
              <w:ind w:left="620"/>
              <w:spacing w:after="0"/>
              <w:rPr>
                <w:sz w:val="20"/>
                <w:szCs w:val="20"/>
                <w:color w:val="auto"/>
              </w:rPr>
            </w:pPr>
            <w:r>
              <w:rPr>
                <w:rFonts w:ascii="Times New Roman" w:cs="Times New Roman" w:eastAsia="Times New Roman" w:hAnsi="Times New Roman"/>
                <w:sz w:val="13"/>
                <w:szCs w:val="13"/>
                <w:color w:val="auto"/>
              </w:rPr>
              <w:t>Withheld</w:t>
            </w:r>
          </w:p>
        </w:tc>
        <w:tc>
          <w:tcPr>
            <w:tcW w:w="14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Broker</w:t>
            </w: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392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4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Non-Votes</w:t>
            </w:r>
          </w:p>
        </w:tc>
        <w:tc>
          <w:tcPr>
            <w:tcW w:w="0" w:type="dxa"/>
            <w:vAlign w:val="bottom"/>
          </w:tcPr>
          <w:p>
            <w:pPr>
              <w:spacing w:after="0"/>
              <w:rPr>
                <w:sz w:val="1"/>
                <w:szCs w:val="1"/>
                <w:color w:val="auto"/>
              </w:rPr>
            </w:pP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C. Blank</w:t>
            </w:r>
          </w:p>
        </w:tc>
        <w:tc>
          <w:tcPr>
            <w:tcW w:w="3920" w:type="dxa"/>
            <w:vAlign w:val="bottom"/>
            <w:tcBorders>
              <w:bottom w:val="single" w:sz="8" w:color="CCEEFF"/>
            </w:tcBorders>
            <w:shd w:val="clear" w:color="auto" w:fill="CCEEFF"/>
          </w:tcPr>
          <w:p>
            <w:pPr>
              <w:jc w:val="center"/>
              <w:ind w:left="1934"/>
              <w:spacing w:after="0"/>
              <w:rPr>
                <w:sz w:val="20"/>
                <w:szCs w:val="20"/>
                <w:color w:val="auto"/>
              </w:rPr>
            </w:pPr>
            <w:r>
              <w:rPr>
                <w:rFonts w:ascii="Times New Roman" w:cs="Times New Roman" w:eastAsia="Times New Roman" w:hAnsi="Times New Roman"/>
                <w:sz w:val="18"/>
                <w:szCs w:val="18"/>
                <w:color w:val="auto"/>
              </w:rPr>
              <w:t>16,589,468</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6,027,629</w:t>
            </w:r>
          </w:p>
        </w:tc>
        <w:tc>
          <w:tcPr>
            <w:tcW w:w="1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4,288,375</w:t>
            </w:r>
          </w:p>
        </w:tc>
        <w:tc>
          <w:tcPr>
            <w:tcW w:w="0" w:type="dxa"/>
            <w:vAlign w:val="bottom"/>
          </w:tcPr>
          <w:p>
            <w:pPr>
              <w:spacing w:after="0"/>
              <w:rPr>
                <w:sz w:val="1"/>
                <w:szCs w:val="1"/>
                <w:color w:val="auto"/>
              </w:rPr>
            </w:pP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M. Cohen</w:t>
            </w:r>
          </w:p>
        </w:tc>
        <w:tc>
          <w:tcPr>
            <w:tcW w:w="3920" w:type="dxa"/>
            <w:vAlign w:val="bottom"/>
          </w:tcPr>
          <w:p>
            <w:pPr>
              <w:jc w:val="center"/>
              <w:ind w:left="1934"/>
              <w:spacing w:after="0"/>
              <w:rPr>
                <w:sz w:val="20"/>
                <w:szCs w:val="20"/>
                <w:color w:val="auto"/>
              </w:rPr>
            </w:pPr>
            <w:r>
              <w:rPr>
                <w:rFonts w:ascii="Times New Roman" w:cs="Times New Roman" w:eastAsia="Times New Roman" w:hAnsi="Times New Roman"/>
                <w:sz w:val="18"/>
                <w:szCs w:val="18"/>
                <w:color w:val="auto"/>
              </w:rPr>
              <w:t>16,846,614</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5,770,483</w:t>
            </w:r>
          </w:p>
        </w:tc>
        <w:tc>
          <w:tcPr>
            <w:tcW w:w="1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4,288,375</w:t>
            </w:r>
          </w:p>
        </w:tc>
        <w:tc>
          <w:tcPr>
            <w:tcW w:w="0" w:type="dxa"/>
            <w:vAlign w:val="bottom"/>
          </w:tcPr>
          <w:p>
            <w:pPr>
              <w:spacing w:after="0"/>
              <w:rPr>
                <w:sz w:val="1"/>
                <w:szCs w:val="1"/>
                <w:color w:val="auto"/>
              </w:rPr>
            </w:pPr>
          </w:p>
        </w:tc>
      </w:tr>
      <w:tr>
        <w:trPr>
          <w:trHeight w:val="22"/>
        </w:trPr>
        <w:tc>
          <w:tcPr>
            <w:tcW w:w="39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Debra G. Perelman</w:t>
            </w:r>
          </w:p>
        </w:tc>
        <w:tc>
          <w:tcPr>
            <w:tcW w:w="3920" w:type="dxa"/>
            <w:vAlign w:val="bottom"/>
            <w:tcBorders>
              <w:bottom w:val="single" w:sz="8" w:color="CCEEFF"/>
            </w:tcBorders>
            <w:shd w:val="clear" w:color="auto" w:fill="CCEEFF"/>
          </w:tcPr>
          <w:p>
            <w:pPr>
              <w:jc w:val="center"/>
              <w:ind w:left="1934"/>
              <w:spacing w:after="0"/>
              <w:rPr>
                <w:sz w:val="20"/>
                <w:szCs w:val="20"/>
                <w:color w:val="auto"/>
              </w:rPr>
            </w:pPr>
            <w:r>
              <w:rPr>
                <w:rFonts w:ascii="Times New Roman" w:cs="Times New Roman" w:eastAsia="Times New Roman" w:hAnsi="Times New Roman"/>
                <w:sz w:val="18"/>
                <w:szCs w:val="18"/>
                <w:color w:val="auto"/>
              </w:rPr>
              <w:t>16,848,138</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5,768,959</w:t>
            </w:r>
          </w:p>
        </w:tc>
        <w:tc>
          <w:tcPr>
            <w:tcW w:w="1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4,288,375</w:t>
            </w:r>
          </w:p>
        </w:tc>
        <w:tc>
          <w:tcPr>
            <w:tcW w:w="0" w:type="dxa"/>
            <w:vAlign w:val="bottom"/>
          </w:tcPr>
          <w:p>
            <w:pPr>
              <w:spacing w:after="0"/>
              <w:rPr>
                <w:sz w:val="1"/>
                <w:szCs w:val="1"/>
                <w:color w:val="auto"/>
              </w:rPr>
            </w:pP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Leonard Tow</w:t>
            </w:r>
          </w:p>
        </w:tc>
        <w:tc>
          <w:tcPr>
            <w:tcW w:w="3920" w:type="dxa"/>
            <w:vAlign w:val="bottom"/>
          </w:tcPr>
          <w:p>
            <w:pPr>
              <w:jc w:val="center"/>
              <w:ind w:left="1914"/>
              <w:spacing w:after="0"/>
              <w:rPr>
                <w:sz w:val="20"/>
                <w:szCs w:val="20"/>
                <w:color w:val="auto"/>
              </w:rPr>
            </w:pPr>
            <w:r>
              <w:rPr>
                <w:rFonts w:ascii="Times New Roman" w:cs="Times New Roman" w:eastAsia="Times New Roman" w:hAnsi="Times New Roman"/>
                <w:sz w:val="18"/>
                <w:szCs w:val="18"/>
                <w:color w:val="auto"/>
                <w:w w:val="99"/>
              </w:rPr>
              <w:t>7,148,210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15,468,887</w:t>
            </w:r>
          </w:p>
        </w:tc>
        <w:tc>
          <w:tcPr>
            <w:tcW w:w="1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4,288,375</w:t>
            </w:r>
          </w:p>
        </w:tc>
        <w:tc>
          <w:tcPr>
            <w:tcW w:w="0" w:type="dxa"/>
            <w:vAlign w:val="bottom"/>
          </w:tcPr>
          <w:p>
            <w:pPr>
              <w:spacing w:after="0"/>
              <w:rPr>
                <w:sz w:val="1"/>
                <w:szCs w:val="1"/>
                <w:color w:val="auto"/>
              </w:rPr>
            </w:pPr>
          </w:p>
        </w:tc>
      </w:tr>
      <w:tr>
        <w:trPr>
          <w:trHeight w:val="22"/>
        </w:trPr>
        <w:tc>
          <w:tcPr>
            <w:tcW w:w="39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 E. Vogel</w:t>
            </w:r>
          </w:p>
        </w:tc>
        <w:tc>
          <w:tcPr>
            <w:tcW w:w="3920" w:type="dxa"/>
            <w:vAlign w:val="bottom"/>
            <w:shd w:val="clear" w:color="auto" w:fill="CCEEFF"/>
          </w:tcPr>
          <w:p>
            <w:pPr>
              <w:jc w:val="center"/>
              <w:ind w:left="1934"/>
              <w:spacing w:after="0"/>
              <w:rPr>
                <w:sz w:val="20"/>
                <w:szCs w:val="20"/>
                <w:color w:val="auto"/>
              </w:rPr>
            </w:pPr>
            <w:r>
              <w:rPr>
                <w:rFonts w:ascii="Times New Roman" w:cs="Times New Roman" w:eastAsia="Times New Roman" w:hAnsi="Times New Roman"/>
                <w:sz w:val="18"/>
                <w:szCs w:val="18"/>
                <w:color w:val="auto"/>
              </w:rPr>
              <w:t>16,837,066</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5,780,031</w:t>
            </w:r>
          </w:p>
        </w:tc>
        <w:tc>
          <w:tcPr>
            <w:tcW w:w="1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4,288,375</w:t>
            </w:r>
          </w:p>
        </w:tc>
        <w:tc>
          <w:tcPr>
            <w:tcW w:w="0" w:type="dxa"/>
            <w:vAlign w:val="bottom"/>
          </w:tcPr>
          <w:p>
            <w:pPr>
              <w:spacing w:after="0"/>
              <w:rPr>
                <w:sz w:val="1"/>
                <w:szCs w:val="1"/>
                <w:color w:val="auto"/>
              </w:rPr>
            </w:pPr>
          </w:p>
        </w:tc>
      </w:tr>
      <w:tr>
        <w:trPr>
          <w:trHeight w:val="22"/>
        </w:trPr>
        <w:tc>
          <w:tcPr>
            <w:tcW w:w="398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Company’s Class B stockholders elected the eight directors listed below to the Board of Directors, each for a one-year term. The votes regarding this proposal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4880" w:type="dxa"/>
            <w:vAlign w:val="bottom"/>
          </w:tcPr>
          <w:p>
            <w:pPr>
              <w:jc w:val="right"/>
              <w:ind w:right="713"/>
              <w:spacing w:after="0"/>
              <w:rPr>
                <w:sz w:val="20"/>
                <w:szCs w:val="20"/>
                <w:color w:val="auto"/>
              </w:rPr>
            </w:pPr>
            <w:r>
              <w:rPr>
                <w:rFonts w:ascii="Times New Roman" w:cs="Times New Roman" w:eastAsia="Times New Roman" w:hAnsi="Times New Roman"/>
                <w:sz w:val="13"/>
                <w:szCs w:val="13"/>
                <w:color w:val="auto"/>
              </w:rPr>
              <w:t>For</w:t>
            </w:r>
          </w:p>
        </w:tc>
        <w:tc>
          <w:tcPr>
            <w:tcW w:w="1020" w:type="dxa"/>
            <w:vAlign w:val="bottom"/>
          </w:tcPr>
          <w:p>
            <w:pPr>
              <w:jc w:val="center"/>
              <w:ind w:left="153"/>
              <w:spacing w:after="0"/>
              <w:rPr>
                <w:sz w:val="20"/>
                <w:szCs w:val="20"/>
                <w:color w:val="auto"/>
              </w:rPr>
            </w:pPr>
            <w:r>
              <w:rPr>
                <w:rFonts w:ascii="Times New Roman" w:cs="Times New Roman" w:eastAsia="Times New Roman" w:hAnsi="Times New Roman"/>
                <w:sz w:val="13"/>
                <w:szCs w:val="13"/>
                <w:color w:val="auto"/>
              </w:rPr>
              <w:t>Withheld</w:t>
            </w:r>
          </w:p>
        </w:tc>
      </w:tr>
      <w:tr>
        <w:trPr>
          <w:trHeight w:val="24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Aidan J. Dolan</w:t>
            </w:r>
          </w:p>
        </w:tc>
        <w:tc>
          <w:tcPr>
            <w:tcW w:w="488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113,218,790</w:t>
            </w:r>
          </w:p>
        </w:tc>
        <w:tc>
          <w:tcPr>
            <w:tcW w:w="102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L. Dolan</w:t>
            </w:r>
          </w:p>
        </w:tc>
        <w:tc>
          <w:tcPr>
            <w:tcW w:w="48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113,218,790</w:t>
            </w:r>
          </w:p>
        </w:tc>
        <w:tc>
          <w:tcPr>
            <w:tcW w:w="102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8"/>
              </w:rPr>
              <w:t>0</w:t>
            </w:r>
          </w:p>
        </w:tc>
      </w:tr>
      <w:tr>
        <w:trPr>
          <w:trHeight w:val="22"/>
        </w:trPr>
        <w:tc>
          <w:tcPr>
            <w:tcW w:w="5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F. Dolan</w:t>
            </w:r>
          </w:p>
        </w:tc>
        <w:tc>
          <w:tcPr>
            <w:tcW w:w="488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113,218,790</w:t>
            </w:r>
          </w:p>
        </w:tc>
        <w:tc>
          <w:tcPr>
            <w:tcW w:w="102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C. Dolan</w:t>
            </w:r>
          </w:p>
        </w:tc>
        <w:tc>
          <w:tcPr>
            <w:tcW w:w="48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113,218,790</w:t>
            </w:r>
          </w:p>
        </w:tc>
        <w:tc>
          <w:tcPr>
            <w:tcW w:w="102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8"/>
              </w:rPr>
              <w:t>0</w:t>
            </w:r>
          </w:p>
        </w:tc>
      </w:tr>
      <w:tr>
        <w:trPr>
          <w:trHeight w:val="22"/>
        </w:trPr>
        <w:tc>
          <w:tcPr>
            <w:tcW w:w="5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C. Mills</w:t>
            </w:r>
          </w:p>
        </w:tc>
        <w:tc>
          <w:tcPr>
            <w:tcW w:w="488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113,218,790</w:t>
            </w:r>
          </w:p>
        </w:tc>
        <w:tc>
          <w:tcPr>
            <w:tcW w:w="102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 Sweeney</w:t>
            </w:r>
          </w:p>
        </w:tc>
        <w:tc>
          <w:tcPr>
            <w:tcW w:w="48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113,218,790</w:t>
            </w:r>
          </w:p>
        </w:tc>
        <w:tc>
          <w:tcPr>
            <w:tcW w:w="102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8"/>
              </w:rPr>
              <w:t>0</w:t>
            </w:r>
          </w:p>
        </w:tc>
      </w:tr>
      <w:tr>
        <w:trPr>
          <w:trHeight w:val="22"/>
        </w:trPr>
        <w:tc>
          <w:tcPr>
            <w:tcW w:w="5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Vincent Tese</w:t>
            </w:r>
          </w:p>
        </w:tc>
        <w:tc>
          <w:tcPr>
            <w:tcW w:w="488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113,218,790</w:t>
            </w:r>
          </w:p>
        </w:tc>
        <w:tc>
          <w:tcPr>
            <w:tcW w:w="102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Marianne Dolan Weber</w:t>
            </w:r>
          </w:p>
        </w:tc>
        <w:tc>
          <w:tcPr>
            <w:tcW w:w="48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113,218,790</w:t>
            </w:r>
          </w:p>
        </w:tc>
        <w:tc>
          <w:tcPr>
            <w:tcW w:w="102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382" w:lineRule="exact"/>
        <w:rPr>
          <w:sz w:val="20"/>
          <w:szCs w:val="20"/>
          <w:color w:val="auto"/>
        </w:rPr>
      </w:pPr>
    </w:p>
    <w:p>
      <w:pPr>
        <w:ind w:left="360" w:right="540" w:hanging="334"/>
        <w:spacing w:after="0" w:line="266"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and Class B stockholders, voting together as a single class, ratified the appointment of KPMG LLP as the Company’s independent registered public accounting firm for the 2024 fiscal year. The votes regarding this proposal were as follows:</w:t>
      </w:r>
    </w:p>
    <w:p>
      <w:pPr>
        <w:spacing w:after="0" w:line="95"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6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Abstain</w:t>
            </w:r>
          </w:p>
        </w:tc>
        <w:tc>
          <w:tcPr>
            <w:tcW w:w="240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77"/>
        </w:trPr>
        <w:tc>
          <w:tcPr>
            <w:tcW w:w="18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w w:val="97"/>
              </w:rPr>
              <w:t>139,812,421</w:t>
            </w:r>
          </w:p>
        </w:tc>
        <w:tc>
          <w:tcPr>
            <w:tcW w:w="39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294,386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17,455</w:t>
            </w:r>
          </w:p>
        </w:tc>
        <w:tc>
          <w:tcPr>
            <w:tcW w:w="1080" w:type="dxa"/>
            <w:vAlign w:val="bottom"/>
          </w:tcPr>
          <w:p>
            <w:pPr>
              <w:spacing w:after="0"/>
              <w:rPr>
                <w:sz w:val="24"/>
                <w:szCs w:val="24"/>
                <w:color w:val="auto"/>
              </w:rPr>
            </w:pPr>
          </w:p>
        </w:tc>
        <w:tc>
          <w:tcPr>
            <w:tcW w:w="2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r>
    </w:tbl>
    <w:p>
      <w:pPr>
        <w:spacing w:after="0" w:line="387" w:lineRule="exact"/>
        <w:rPr>
          <w:sz w:val="20"/>
          <w:szCs w:val="20"/>
          <w:color w:val="auto"/>
        </w:rPr>
      </w:pPr>
    </w:p>
    <w:p>
      <w:pPr>
        <w:ind w:left="360" w:right="280" w:hanging="334"/>
        <w:spacing w:after="0" w:line="266"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and Class B stockholders, voting together as a single class, approved, on an advisory basis (non-binding), the compensation of the Company’s Named Executive Officers. The votes regarding this proposal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w w:val="99"/>
              </w:rPr>
              <w:t>Against</w:t>
            </w:r>
          </w:p>
        </w:tc>
        <w:tc>
          <w:tcPr>
            <w:tcW w:w="16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Abstain</w:t>
            </w:r>
          </w:p>
        </w:tc>
        <w:tc>
          <w:tcPr>
            <w:tcW w:w="3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7"/>
        </w:trPr>
        <w:tc>
          <w:tcPr>
            <w:tcW w:w="250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123,707,154</w:t>
            </w:r>
          </w:p>
        </w:tc>
        <w:tc>
          <w:tcPr>
            <w:tcW w:w="4000" w:type="dxa"/>
            <w:vAlign w:val="bottom"/>
            <w:gridSpan w:val="3"/>
          </w:tcPr>
          <w:p>
            <w:pPr>
              <w:jc w:val="right"/>
              <w:ind w:right="2320"/>
              <w:spacing w:after="0"/>
              <w:rPr>
                <w:sz w:val="20"/>
                <w:szCs w:val="20"/>
                <w:color w:val="auto"/>
              </w:rPr>
            </w:pPr>
            <w:r>
              <w:rPr>
                <w:rFonts w:ascii="Times New Roman" w:cs="Times New Roman" w:eastAsia="Times New Roman" w:hAnsi="Times New Roman"/>
                <w:sz w:val="18"/>
                <w:szCs w:val="18"/>
                <w:color w:val="auto"/>
              </w:rPr>
              <w:t>12,052,161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76,572</w:t>
            </w:r>
          </w:p>
        </w:tc>
        <w:tc>
          <w:tcPr>
            <w:tcW w:w="1080" w:type="dxa"/>
            <w:vAlign w:val="bottom"/>
          </w:tcPr>
          <w:p>
            <w:pPr>
              <w:spacing w:after="0"/>
              <w:rPr>
                <w:sz w:val="24"/>
                <w:szCs w:val="24"/>
                <w:color w:val="auto"/>
              </w:rPr>
            </w:pPr>
          </w:p>
        </w:tc>
        <w:tc>
          <w:tcPr>
            <w:tcW w:w="2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4,288,375</w:t>
            </w:r>
          </w:p>
        </w:tc>
        <w:tc>
          <w:tcPr>
            <w:tcW w:w="700" w:type="dxa"/>
            <w:vAlign w:val="bottom"/>
          </w:tcPr>
          <w:p>
            <w:pPr>
              <w:spacing w:after="0"/>
              <w:rPr>
                <w:sz w:val="24"/>
                <w:szCs w:val="24"/>
                <w:color w:val="auto"/>
              </w:rPr>
            </w:pPr>
          </w:p>
        </w:tc>
      </w:tr>
      <w:tr>
        <w:trPr>
          <w:trHeight w:val="1721"/>
        </w:trPr>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360" w:right="240" w:hanging="334"/>
        <w:spacing w:after="0" w:line="266"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and Class B stockholders, voting together as a single class, voted on an advisory (non-binding) basis, on the frequency of stockholder votes on executive compensation. The votes regarding this proposal were as follows: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4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4"/>
              </w:rPr>
              <w:t>1 Year</w:t>
            </w:r>
          </w:p>
        </w:tc>
        <w:tc>
          <w:tcPr>
            <w:tcW w:w="2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2 Years</w:t>
            </w:r>
          </w:p>
        </w:tc>
        <w:tc>
          <w:tcPr>
            <w:tcW w:w="23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3 Years</w:t>
            </w:r>
          </w:p>
        </w:tc>
        <w:tc>
          <w:tcPr>
            <w:tcW w:w="26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Abstain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77"/>
        </w:trPr>
        <w:tc>
          <w:tcPr>
            <w:tcW w:w="1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w w:val="97"/>
              </w:rPr>
              <w:t>134,441,380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20,151</w:t>
            </w:r>
          </w:p>
        </w:tc>
        <w:tc>
          <w:tcPr>
            <w:tcW w:w="780" w:type="dxa"/>
            <w:vAlign w:val="bottom"/>
          </w:tcPr>
          <w:p>
            <w:pPr>
              <w:spacing w:after="0"/>
              <w:rPr>
                <w:sz w:val="24"/>
                <w:szCs w:val="24"/>
                <w:color w:val="auto"/>
              </w:rPr>
            </w:pPr>
          </w:p>
        </w:tc>
        <w:tc>
          <w:tcPr>
            <w:tcW w:w="23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1,363,814</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10,542</w:t>
            </w:r>
          </w:p>
        </w:tc>
        <w:tc>
          <w:tcPr>
            <w:tcW w:w="1260" w:type="dxa"/>
            <w:vAlign w:val="bottom"/>
          </w:tcPr>
          <w:p>
            <w:pPr>
              <w:spacing w:after="0"/>
              <w:rPr>
                <w:sz w:val="24"/>
                <w:szCs w:val="24"/>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4,288,375</w:t>
            </w:r>
          </w:p>
        </w:tc>
      </w:tr>
    </w:tbl>
    <w:p>
      <w:pPr>
        <w:spacing w:after="0" w:line="373" w:lineRule="exact"/>
        <w:rPr>
          <w:sz w:val="20"/>
          <w:szCs w:val="20"/>
          <w:color w:val="auto"/>
        </w:rPr>
      </w:pPr>
    </w:p>
    <w:p>
      <w:pPr>
        <w:ind w:left="360" w:hanging="334"/>
        <w:spacing w:after="0" w:line="266"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and Class B stockholders, voting together as a single class, approved a proposal recommending the Company’s Amended and Restated 2011 Stock Plan for Non-Employee Directors. The votes regarding this proposal were as follows:</w:t>
      </w:r>
    </w:p>
    <w:p>
      <w:pPr>
        <w:spacing w:after="0" w:line="109"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w w:val="99"/>
              </w:rPr>
              <w:t>Against</w:t>
            </w:r>
          </w:p>
        </w:tc>
        <w:tc>
          <w:tcPr>
            <w:tcW w:w="16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Abstain</w:t>
            </w:r>
          </w:p>
        </w:tc>
        <w:tc>
          <w:tcPr>
            <w:tcW w:w="240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77"/>
        </w:trPr>
        <w:tc>
          <w:tcPr>
            <w:tcW w:w="18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w w:val="97"/>
              </w:rPr>
              <w:t>128,666,004</w:t>
            </w:r>
          </w:p>
        </w:tc>
        <w:tc>
          <w:tcPr>
            <w:tcW w:w="3960" w:type="dxa"/>
            <w:vAlign w:val="bottom"/>
            <w:gridSpan w:val="3"/>
          </w:tcPr>
          <w:p>
            <w:pPr>
              <w:jc w:val="right"/>
              <w:ind w:right="2360"/>
              <w:spacing w:after="0"/>
              <w:rPr>
                <w:sz w:val="20"/>
                <w:szCs w:val="20"/>
                <w:color w:val="auto"/>
              </w:rPr>
            </w:pPr>
            <w:r>
              <w:rPr>
                <w:rFonts w:ascii="Times New Roman" w:cs="Times New Roman" w:eastAsia="Times New Roman" w:hAnsi="Times New Roman"/>
                <w:sz w:val="18"/>
                <w:szCs w:val="18"/>
                <w:color w:val="auto"/>
              </w:rPr>
              <w:t>7,109,027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60,856</w:t>
            </w:r>
          </w:p>
        </w:tc>
        <w:tc>
          <w:tcPr>
            <w:tcW w:w="1080" w:type="dxa"/>
            <w:vAlign w:val="bottom"/>
          </w:tcPr>
          <w:p>
            <w:pPr>
              <w:spacing w:after="0"/>
              <w:rPr>
                <w:sz w:val="24"/>
                <w:szCs w:val="24"/>
                <w:color w:val="auto"/>
              </w:rPr>
            </w:pPr>
          </w:p>
        </w:tc>
        <w:tc>
          <w:tcPr>
            <w:tcW w:w="2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4,288,375</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31"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3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June 14, 2024</w:t>
            </w:r>
          </w:p>
        </w:tc>
        <w:tc>
          <w:tcPr>
            <w:tcW w:w="77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Anne G. Kelly</w:t>
            </w:r>
          </w:p>
        </w:tc>
      </w:tr>
      <w:tr>
        <w:trPr>
          <w:trHeight w:val="218"/>
        </w:trPr>
        <w:tc>
          <w:tcPr>
            <w:tcW w:w="3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Anne G. Kelly</w:t>
            </w:r>
          </w:p>
        </w:tc>
      </w:tr>
      <w:tr>
        <w:trPr>
          <w:trHeight w:val="234"/>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Corporate Secretary</w:t>
            </w:r>
          </w:p>
        </w:tc>
      </w:tr>
    </w:tbl>
    <w:p>
      <w:pPr>
        <w:spacing w:after="0" w:line="1" w:lineRule="exact"/>
        <w:rPr>
          <w:sz w:val="20"/>
          <w:szCs w:val="20"/>
          <w:color w:val="auto"/>
        </w:rPr>
      </w:pP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2024-06-14T15:27:29Z</dcterms:created>
  <dcterms:modified xsi:type="dcterms:W3CDTF">2024-06-14T15:27:29Z</dcterms:modified>
</cp:coreProperties>
</file>