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 (October 29, 2025)</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360"/>
        </w:trPr>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jc w:val="center"/>
              <w:ind w:right="221"/>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7380" w:type="dxa"/>
            <w:vAlign w:val="bottom"/>
            <w:gridSpan w:val="4"/>
          </w:tcPr>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0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r>
        <w:trPr>
          <w:trHeight w:val="387"/>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00" w:type="dxa"/>
            <w:vAlign w:val="bottom"/>
          </w:tcPr>
          <w:p>
            <w:pPr>
              <w:spacing w:after="0"/>
              <w:rPr>
                <w:sz w:val="24"/>
                <w:szCs w:val="24"/>
                <w:color w:val="auto"/>
              </w:rPr>
            </w:pPr>
          </w:p>
        </w:tc>
        <w:tc>
          <w:tcPr>
            <w:tcW w:w="302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400" w:type="dxa"/>
            <w:vAlign w:val="bottom"/>
            <w:gridSpan w:val="2"/>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spacing w:after="0"/>
              <w:rPr>
                <w:sz w:val="12"/>
                <w:szCs w:val="12"/>
                <w:color w:val="auto"/>
              </w:rPr>
            </w:pPr>
          </w:p>
        </w:tc>
        <w:tc>
          <w:tcPr>
            <w:tcW w:w="3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spacing w:after="0"/>
              <w:rPr>
                <w:sz w:val="16"/>
                <w:szCs w:val="16"/>
                <w:color w:val="auto"/>
              </w:rPr>
            </w:pPr>
          </w:p>
        </w:tc>
        <w:tc>
          <w:tcPr>
            <w:tcW w:w="3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3400" w:type="dxa"/>
            <w:vAlign w:val="bottom"/>
            <w:gridSpan w:val="2"/>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000" w:type="dxa"/>
            <w:vAlign w:val="bottom"/>
          </w:tcPr>
          <w:p>
            <w:pPr>
              <w:spacing w:after="0"/>
              <w:rPr>
                <w:sz w:val="19"/>
                <w:szCs w:val="19"/>
                <w:color w:val="auto"/>
              </w:rPr>
            </w:pPr>
          </w:p>
        </w:tc>
        <w:tc>
          <w:tcPr>
            <w:tcW w:w="302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spacing w:after="0"/>
              <w:rPr>
                <w:sz w:val="16"/>
                <w:szCs w:val="16"/>
                <w:color w:val="auto"/>
              </w:rPr>
            </w:pPr>
          </w:p>
        </w:tc>
        <w:tc>
          <w:tcPr>
            <w:tcW w:w="3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4360" w:type="dxa"/>
            <w:vAlign w:val="bottom"/>
            <w:gridSpan w:val="2"/>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419"/>
        </w:trPr>
        <w:tc>
          <w:tcPr>
            <w:tcW w:w="2040" w:type="dxa"/>
            <w:vAlign w:val="bottom"/>
          </w:tcPr>
          <w:p>
            <w:pPr>
              <w:spacing w:after="0"/>
              <w:rPr>
                <w:sz w:val="24"/>
                <w:szCs w:val="24"/>
                <w:color w:val="auto"/>
              </w:rPr>
            </w:pPr>
          </w:p>
        </w:tc>
        <w:tc>
          <w:tcPr>
            <w:tcW w:w="7380" w:type="dxa"/>
            <w:vAlign w:val="bottom"/>
            <w:gridSpan w:val="4"/>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400" w:type="dxa"/>
            <w:vAlign w:val="bottom"/>
            <w:gridSpan w:val="2"/>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400" w:type="dxa"/>
            <w:vAlign w:val="bottom"/>
            <w:gridSpan w:val="2"/>
          </w:tcPr>
          <w:p>
            <w:pPr>
              <w:jc w:val="center"/>
              <w:ind w:right="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00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AMCX</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0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5 to Credit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29, 2025, AMC Networks Inc. (“AMC Networks”) entered into Amendment No. 5 (“Amendment No. 5”) to the Second Amended and Restated Credit Agreement, dated as of July 28, 2017 (as amended to date and by Amendment No. 5,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w:t>
      </w:r>
    </w:p>
    <w:p>
      <w:pPr>
        <w:spacing w:after="0" w:line="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Pursuant to Amendment No. 5, the maturity date of $111.8 million of commitments under the Revolving Credit Facility was extended to the earlier of (i) October 29, 2030 and (ii) the date that is 90 days prior to the maturity date of any capital markets indebtedness of AMC Networks with an aggregate outstanding principal amount exceeding $50.0 million. The remaining $63.2 million of commitments under the Revolving Credit Facility retained their existing maturity date of April 9, 2028. In connection with Amendment No. 5, AMC Networks repurchased and permanently retired term loans held by certain lenders that consented to the maturity extension, in an aggregate principal amount equal to $165.7 million, at a price equal to the principal amount thereof plus accrued and unpaid interest. After giving effect to these repurchases, the remaining principal amount of the term loans outstanding under the Credit Agreement is approximately $85.6 million.</w:t>
      </w:r>
    </w:p>
    <w:p>
      <w:pPr>
        <w:spacing w:after="0" w:line="8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Amendment No. 5 also includes certain other modifications to covenants and other provisions of the Credit Agreement, including a reduction in the minimum interest coverage ratio from 2.00:1.00 to 1.50:1.00, with a step-up to 1.75:1.00 for fiscal quarters ending on or after December 31, 2028.</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Amendment No. 5, which is attached as Exhibit 10.1 hereto and incorporated herein by reference.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hereby incorporated by reference into this Item 2.03.</w:t>
      </w:r>
    </w:p>
    <w:p>
      <w:pPr>
        <w:spacing w:after="0" w:line="200" w:lineRule="exact"/>
        <w:rPr>
          <w:sz w:val="20"/>
          <w:szCs w:val="20"/>
          <w:color w:val="auto"/>
        </w:rPr>
      </w:pPr>
    </w:p>
    <w:p>
      <w:pPr>
        <w:spacing w:after="0" w:line="3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3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Amendment No. 5, dated as of October 29, 2025, to Second Amended and Restated Credit Agreement, dated as of July 28, 2017,</w:t>
            </w:r>
          </w:p>
        </w:tc>
        <w:tc>
          <w:tcPr>
            <w:tcW w:w="0" w:type="dxa"/>
            <w:vAlign w:val="bottom"/>
          </w:tcPr>
          <w:p>
            <w:pPr>
              <w:spacing w:after="0"/>
              <w:rPr>
                <w:sz w:val="1"/>
                <w:szCs w:val="1"/>
                <w:color w:val="auto"/>
              </w:rPr>
            </w:pPr>
          </w:p>
        </w:tc>
      </w:tr>
      <w:tr>
        <w:trPr>
          <w:trHeight w:val="156"/>
        </w:trPr>
        <w:tc>
          <w:tcPr>
            <w:tcW w:w="12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3"/>
                <w:szCs w:val="13"/>
                <w:color w:val="auto"/>
              </w:rPr>
            </w:pPr>
          </w:p>
        </w:tc>
        <w:tc>
          <w:tcPr>
            <w:tcW w:w="93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among AMC Networks and its subsidiary, AMC Network Entertainment, as the initial borrowers, certain of AMC Networks’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9600" w:type="dxa"/>
            <w:vAlign w:val="bottom"/>
            <w:gridSpan w:val="7"/>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subsidiaries, as restricted subsidiaries, Bank of America, N.A., as an L/C Issuer, the lenders party thereto, and JPMorgan Chase</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Bank, N.A., as Administrative Agent, Collateral Agent and an L/C Issuer.</w:t>
            </w:r>
          </w:p>
        </w:tc>
        <w:tc>
          <w:tcPr>
            <w:tcW w:w="3840" w:type="dxa"/>
            <w:vAlign w:val="bottom"/>
            <w:tcBorders>
              <w:top w:val="single" w:sz="8" w:color="0000FF"/>
            </w:tcBorders>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1"/>
                <w:szCs w:val="21"/>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33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6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tc>
      </w:tr>
    </w:tbl>
    <w:p>
      <w:pPr>
        <w:sectPr>
          <w:pgSz w:w="11900" w:h="16838" w:orient="portrait"/>
          <w:cols w:equalWidth="0" w:num="1">
            <w:col w:w="11240"/>
          </w:cols>
          <w:pgMar w:left="320" w:top="11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THE SECOND AMENDED AND RESTATED CREDIT AGREEMENT</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dated as of October 29, 2025</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the Company and an initial Borrower,</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AMC NETWORK ENTERTAINMENT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an initial Borrower,</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SUBSIDIARIES OF THE COMPANY,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Restricted Subsidiaries,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JPMORGAN SECURITIES LLC,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Joint Lead Arrangers and Joint Bookrunners and Co-Documentation Agents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160"/>
          </w:cols>
          <w:pgMar w:left="320" w:top="120" w:right="41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5 TO THE SECOND AMENDED AND RESTATED CREDIT AGREEMENT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5 TO THE SECOND AMENDED AND RESTATED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October 29, 2025, is among AMC NETWORKS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AMC NETWORK ENTERTAINMENT LLC, a New York limited liability company (collectively with the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Restricted Subsidiaries party hereto,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Collateral Agent , and each Consenting Lender party hereto. Terms used herein and not otherwise defined have the meaning set forth in the Credit Agreement, as amended by this Amendment (as so amended,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PRELIMINARY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5" w:lineRule="auto"/>
        <w:tabs>
          <w:tab w:leader="none" w:pos="10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Administrative Agent, the Lenders from time to time party thereto and other parties named therein have entered into that certain Second Amended and Restated Credit Agreement, dated as of July 28, 2017, as amended by (i) that certain Amendment No. 1 to the Second Amended and Restated Credit Agreement, dated as of February 8, 2021, (ii) that certain Amendment No. 2 to the Second Amended and Restated Credit Agreement, dated as of April 19, 2023, (iii) that certain Amendment No. 3 to the Second Amended and Restated Credit Agreement, dated as of April 9, 2024 and (iv) that certain Amendment No. 4 to the Second Amended and Restated Credit Agreement, dated as of September 26, 2024 (and as the same may have been further amended,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Lenders party to the Credit Agreement immediately prior to the effectiveness of this Amendment, the “</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and provided a notice to the Administrative Agent, in accordance with Section 2.18(c) of the Credit Agreement, and each of the Existing Lenders holding Term A Loans and Revolving Credit Commitments under the Credit Agreement that is a party hereto (the “</w:t>
      </w:r>
      <w:r>
        <w:rPr>
          <w:rFonts w:ascii="Times New Roman" w:cs="Times New Roman" w:eastAsia="Times New Roman" w:hAnsi="Times New Roman"/>
          <w:sz w:val="18"/>
          <w:szCs w:val="18"/>
          <w:u w:val="single" w:color="auto"/>
          <w:color w:val="auto"/>
        </w:rPr>
        <w:t>Consenting Lenders</w:t>
      </w:r>
      <w:r>
        <w:rPr>
          <w:rFonts w:ascii="Times New Roman" w:cs="Times New Roman" w:eastAsia="Times New Roman" w:hAnsi="Times New Roman"/>
          <w:sz w:val="18"/>
          <w:szCs w:val="18"/>
          <w:color w:val="auto"/>
        </w:rPr>
        <w:t>”), upon the terms and conditions set forth herein, have agreed, to extend the maturity date of the aggregate principal amount of Term A Loans and Revolving Credit Commitments held by such Consenting Lenders as Extended Term A Loans and Extended Revolving Credit Commitments (each as defined below), respectively (the “</w:t>
      </w:r>
      <w:r>
        <w:rPr>
          <w:rFonts w:ascii="Times New Roman" w:cs="Times New Roman" w:eastAsia="Times New Roman" w:hAnsi="Times New Roman"/>
          <w:sz w:val="18"/>
          <w:szCs w:val="18"/>
          <w:u w:val="single" w:color="auto"/>
          <w:color w:val="auto"/>
        </w:rPr>
        <w:t>Maturity Date Extension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Maturity Date Extension, the Company has made an offer to purchase Term A Loans from each Existing Lender in accordance with Section 10.06 of the Credit Agreement in an aggregate principal amount equal to $165,688,309 (the “</w:t>
      </w:r>
      <w:r>
        <w:rPr>
          <w:rFonts w:ascii="Times New Roman" w:cs="Times New Roman" w:eastAsia="Times New Roman" w:hAnsi="Times New Roman"/>
          <w:sz w:val="18"/>
          <w:szCs w:val="18"/>
          <w:u w:val="single" w:color="auto"/>
          <w:color w:val="auto"/>
        </w:rPr>
        <w:t>Repurchase Amount</w:t>
      </w:r>
      <w:r>
        <w:rPr>
          <w:rFonts w:ascii="Times New Roman" w:cs="Times New Roman" w:eastAsia="Times New Roman" w:hAnsi="Times New Roman"/>
          <w:sz w:val="18"/>
          <w:szCs w:val="18"/>
          <w:color w:val="auto"/>
        </w:rPr>
        <w:t>”), which offer is conditioned upon such Existing Lender’s entry into this Amendment and consent to the Maturity Date Extension, and, immediately after giving effect to the Maturity Date Extension and in accordance with Section 2(b) below, the Company shall repurchase such Term A Loans (such prepayment, the “</w:t>
      </w:r>
      <w:r>
        <w:rPr>
          <w:rFonts w:ascii="Times New Roman" w:cs="Times New Roman" w:eastAsia="Times New Roman" w:hAnsi="Times New Roman"/>
          <w:sz w:val="18"/>
          <w:szCs w:val="18"/>
          <w:u w:val="single" w:color="auto"/>
          <w:color w:val="auto"/>
        </w:rPr>
        <w:t>TLA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from each of the Consenting Lenders, whereupon such Term A Loans shall be immediately retired in accordance with the Credit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and the Consenting Lenders, in their capacity as Existing Lenders and constituting the Required Lenders under the Credit Agreement, upon the terms and conditions set forth herein, have agreed to enter into this Amendment to amend the Credit Agreement to reflect the foregoing transactions and to effect the modifications and amendments to certain other provisions in the Credit Agreement as hereinafter set forth (such transactions, modifications and amendments, collectively, the “</w:t>
      </w:r>
      <w:r>
        <w:rPr>
          <w:rFonts w:ascii="Times New Roman" w:cs="Times New Roman" w:eastAsia="Times New Roman" w:hAnsi="Times New Roman"/>
          <w:sz w:val="18"/>
          <w:szCs w:val="18"/>
          <w:u w:val="single" w:color="auto"/>
          <w:color w:val="auto"/>
        </w:rPr>
        <w:t>Amendment No. 5 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parties hereto hereby agree as follows: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xml:space="preserve">. The Credit Agreement is, effective as of the Amendment No. 5 Effective Date and subject to the satisfaction of the conditions precedent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hereby amended as follows:</w:t>
      </w:r>
    </w:p>
    <w:p>
      <w:pPr>
        <w:spacing w:after="0" w:line="162" w:lineRule="exact"/>
        <w:rPr>
          <w:sz w:val="20"/>
          <w:szCs w:val="20"/>
          <w:color w:val="auto"/>
        </w:rPr>
      </w:pPr>
    </w:p>
    <w:p>
      <w:pPr>
        <w:ind w:firstLine="656"/>
        <w:spacing w:after="0" w:line="282" w:lineRule="auto"/>
        <w:tabs>
          <w:tab w:leader="none" w:pos="11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and to add the double-underlined text (indicated textually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same manner as the following example: </w:t>
      </w:r>
      <w:r>
        <w:rPr>
          <w:rFonts w:ascii="Times New Roman" w:cs="Times New Roman" w:eastAsia="Times New Roman" w:hAnsi="Times New Roman"/>
          <w:sz w:val="18"/>
          <w:szCs w:val="18"/>
          <w:u w:val="single" w:color="auto"/>
          <w:color w:val="0432FF"/>
        </w:rPr>
        <w:t>double-underlined text</w:t>
      </w:r>
      <w:r>
        <w:rPr>
          <w:rFonts w:ascii="Times New Roman" w:cs="Times New Roman" w:eastAsia="Times New Roman" w:hAnsi="Times New Roman"/>
          <w:sz w:val="18"/>
          <w:szCs w:val="18"/>
          <w:color w:val="auto"/>
        </w:rPr>
        <w:t xml:space="preserve">) as set forth in the pages of the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avoidance of doubt,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intentionally excludes the exhibits and schedules to the Credit Agreement, which, except as expressly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are not being amended hereby.</w:t>
      </w:r>
    </w:p>
    <w:p>
      <w:pPr>
        <w:spacing w:after="0" w:line="176" w:lineRule="exact"/>
        <w:rPr>
          <w:sz w:val="20"/>
          <w:szCs w:val="20"/>
          <w:color w:val="auto"/>
        </w:rPr>
      </w:pPr>
    </w:p>
    <w:p>
      <w:pPr>
        <w:ind w:right="20" w:firstLine="656"/>
        <w:spacing w:after="0" w:line="282" w:lineRule="auto"/>
        <w:tabs>
          <w:tab w:leader="none" w:pos="10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w:t>
      </w:r>
      <w:r>
        <w:rPr>
          <w:rFonts w:ascii="Times New Roman" w:cs="Times New Roman" w:eastAsia="Times New Roman" w:hAnsi="Times New Roman"/>
          <w:sz w:val="18"/>
          <w:szCs w:val="18"/>
          <w:u w:val="single" w:color="auto"/>
          <w:color w:val="auto"/>
        </w:rPr>
        <w:t>Schedules 1.01(i)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7.20</w:t>
      </w:r>
      <w:r>
        <w:rPr>
          <w:rFonts w:ascii="Times New Roman" w:cs="Times New Roman" w:eastAsia="Times New Roman" w:hAnsi="Times New Roman"/>
          <w:sz w:val="18"/>
          <w:szCs w:val="18"/>
          <w:color w:val="auto"/>
        </w:rPr>
        <w:t xml:space="preserve"> and Exhibits A-2, B-1 and H is hereby amended and restated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 xml:space="preserve">Transactions </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8" w:lineRule="auto"/>
        <w:tabs>
          <w:tab w:leader="none" w:pos="10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Date Extension. </w:t>
      </w:r>
      <w:r>
        <w:rPr>
          <w:rFonts w:ascii="Times New Roman" w:cs="Times New Roman" w:eastAsia="Times New Roman" w:hAnsi="Times New Roman"/>
          <w:sz w:val="18"/>
          <w:szCs w:val="18"/>
          <w:color w:val="auto"/>
        </w:rPr>
        <w:t>Subject to the terms and conditions set forth herein and in the Amended Credit Agreement, in order to effect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Date Extension, each Consenting Lender, severally and not jointly, agrees (a) that its Term A Loans outstanding shall be converted into Term A Loans of a Term Loan Extension Series with the pricing and other terms applicable to “</w:t>
      </w:r>
      <w:r>
        <w:rPr>
          <w:rFonts w:ascii="Times New Roman" w:cs="Times New Roman" w:eastAsia="Times New Roman" w:hAnsi="Times New Roman"/>
          <w:sz w:val="18"/>
          <w:szCs w:val="18"/>
          <w:u w:val="single" w:color="auto"/>
          <w:color w:val="auto"/>
        </w:rPr>
        <w:t>Extended Term A Loans</w:t>
      </w:r>
      <w:r>
        <w:rPr>
          <w:rFonts w:ascii="Times New Roman" w:cs="Times New Roman" w:eastAsia="Times New Roman" w:hAnsi="Times New Roman"/>
          <w:sz w:val="18"/>
          <w:szCs w:val="18"/>
          <w:color w:val="auto"/>
        </w:rPr>
        <w:t>” in the Amended Credit Agreement and (b) that its Revolving Credit Commitments outstanding shall be converted into Revolving Credit Commitments of a Revolving Extension Series with the pricing and other terms applicable to “Extended Revolving Credit Commitments” in the Amended Credit Agreement.</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TLA Repurchase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7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10.06 of the Credit Agreement, the Borrower has offered to purchase from each Consenting Lender, Term A Loans in an aggregate principal amount equal to such Consenting Lender’s pro rata portion of the Repurchase Amount determined based on the outstanding principal amount of the Term A Loans held by all Consenting Lenders immediately prior to the Amendment No. 5 Effective Date, for a purchase price equal to the principal amount of such Term A Loans, plus accrued and unpaid interest thereon to, but excluding, the Amendment No. 5 Effective Date (the “</w:t>
      </w:r>
      <w:r>
        <w:rPr>
          <w:rFonts w:ascii="Times New Roman" w:cs="Times New Roman" w:eastAsia="Times New Roman" w:hAnsi="Times New Roman"/>
          <w:sz w:val="18"/>
          <w:szCs w:val="18"/>
          <w:u w:val="single" w:color="auto"/>
          <w:color w:val="auto"/>
        </w:rPr>
        <w:t>TLA Purchase Price</w:t>
      </w:r>
      <w:r>
        <w:rPr>
          <w:rFonts w:ascii="Times New Roman" w:cs="Times New Roman" w:eastAsia="Times New Roman" w:hAnsi="Times New Roman"/>
          <w:sz w:val="18"/>
          <w:szCs w:val="18"/>
          <w:color w:val="auto"/>
        </w:rPr>
        <w:t>”). Each Consenting Lender hereby agrees to sell, assign and transfer to the Borrower, and the Borrower hereby agrees to purchase from such Consenting Lender, such Term A Loans on the Amendment No. 5 Effective Date for the TLA Purchase Price, subject to the terms hereof.</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2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Amendment No. 5 Effective Date, the Company shall pay to the Administrative Agent, for the account of each Consenting Lender, an amount in cash equal to the aggregate TLA Purchase Price. The Administrative Agent shall pay such amounts received from the Company to the applicable Consenting Lenders in accordance with their pro rata portion of the Repurchase Amount. The participation of each Consenting Lender in the TLA Repurchase shall be pro rata based on the outstanding principal amount of such Lender’s Term A Loans immediately prior to such repayment. Upon payment of the aggregate TLA Purchase Price by the Company, (i) the applicable Term A Loans so repurchased shall be deemed to be purchased by, and assigned to, the Company, and thereupon immediately and automatically retired on the Amendment No. 5 Effective Date without any further action by the Company, the Administrative Agent or any Lender and (ii) upon such retirement, such Term A Loans shall be deemed discharged in full and no further interest or other amounts shall accrue on such Term A Loans, and the Consenting Lenders shall have no further rights in respect thereof except to receive the portion of the TLA Purchase Price payable to them pursuant to this Section 2(b). Each sale of Term A Loans by a Consenting Lender pursuant to this Section 2(b) shall be made without representation or warranty of any kind by such Consenting Lender, the Administrative Agent or the Borrower, except that each such Consenting Lender shall be deemed to represent that it is the legal and beneficial owner of the interests being sold and that such Term A Loans are free and clear of all Liens created by it.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10.06 of the Existing Credit Agreement, each of the Administrative Agent and the Consenting Lenders hereby waives any requirements of Section 10.06 with respect to the TLA Repurchase, including any notice requirements, minimum assignment amounts, required consents, processing and recordation fees or other conditions set forth therein, and agrees that no Assignment and Assumption (or other separate instrument of assignment) shall be required to effect the transactions contemplated by this Section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Conditions of Effectiveness to Amendment No.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Amendment shall become effective on the date (the “</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when, and only when, the following conditions shall have been satisfied:</w:t>
      </w:r>
    </w:p>
    <w:p>
      <w:pPr>
        <w:spacing w:after="0" w:line="162" w:lineRule="exact"/>
        <w:rPr>
          <w:sz w:val="20"/>
          <w:szCs w:val="20"/>
          <w:color w:val="auto"/>
        </w:rPr>
      </w:pPr>
    </w:p>
    <w:p>
      <w:pPr>
        <w:ind w:right="20" w:firstLine="656"/>
        <w:spacing w:after="0" w:line="282" w:lineRule="auto"/>
        <w:tabs>
          <w:tab w:leader="none" w:pos="10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by each Loan Party and each Consenting Lender (or, as to any such Lenders, written evidence reasonably satisfactory to the Administrative Agent that such Lender has executed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or shall concurrently with the effectiveness of this Amendment pay, the Repurchase Amount (together with any fees and interest thereon) to the Administrative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all fees, charges and disbursements of counsel to the Administrative Agent to the extent required to be paid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Amendment or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 and properly invoiced at least three (3) Business Days prior to or on the Amendment No. 5 Effective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estimate shall not thereafter preclude a final settling of accounts between the Borrower and the Administrative Agent).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0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(1) a certificate of the Borrower dated as of the Amendment No. 5 Effective Date signed on behalf of the Borrower by a Responsible Officer of the Borrower, certifying on behalf of each Loan Party that the representations and warranties of such Loan Party set forth in </w:t>
      </w:r>
      <w:r>
        <w:rPr>
          <w:rFonts w:ascii="Times New Roman" w:cs="Times New Roman" w:eastAsia="Times New Roman" w:hAnsi="Times New Roman"/>
          <w:sz w:val="18"/>
          <w:szCs w:val="18"/>
          <w:u w:val="single" w:color="auto"/>
          <w:color w:val="auto"/>
        </w:rPr>
        <w:t>Sections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are true and correct and (2) a loan certificate of each Loan Party,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to the Credit Agreement, together with appropriate attachments which shall include, without limitation, the following items: (i) a true, complete and correct copy of the articles of incorporation, certificate of limited partnership or certificate of formation or organization of such Loan Party, certified by the Secretary of State of such Loan Party’s organization, (ii) a true, complete and correct copy of the by laws, partnership agreement or limited liability company or operating agreement of such Loan Party (or, as to any such Loan Party, a certification that such constitutive documents of such Loan Party have not changed since such Loan Party became a party to the Credit Agreement), (iii) a copy of the resolutions of the board of directors or other appropriate entity of such Loan Party authorizing the execution, delivery and performance by such Loan Party of this Amendment and the Ancillary Documents (as defined below) to which it is a party, (iv) certificates of existence of such Loan Party issued by the Secretary of State or similar state official for the state of such Loan Party’s organization and (v) certification of the name and signature of each of the persons authorized to sign on its respective behalf this Amendment and each Ancillary Document to which it is a party (and the Lenders may conclusively rely on such certifications pursuant to this clause (v) until they receive notice in writing from such Loan Party, as the case may be, to the contrary).</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results of recent Uniform Commercial Code, tax, intellectual property and judgment lien searches in each relevant jurisdiction with respect to the Loan Parties, which searches shall reveal no Liens on any of the assets of the Loan Parties except for Liens permitted by the Credit Agreement. The Collateral Agent shall have received satisfactory evidence that all filings, recordings, registrations and other actions necessary to create, perfect and maintain the security interest of the Collateral Agent in the Collateral on the terms set forth in the Collateral Documents are in full force and effect. All deliverables related to the Collateral required to be delivered pursuant to the Security Agreement or the Pledge Agreement shall have been delivered to the Collateral Agent.</w:t>
      </w:r>
    </w:p>
    <w:p>
      <w:pPr>
        <w:spacing w:after="0" w:line="18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favorable opinions of:</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counsel for the Borrower and the other Loan Parties;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Sullivan &amp; Cromwell LLP, special New York counsel to the borrower and the other Loan Parties and covering such other matters as the Administrative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firstLine="656"/>
        <w:spacing w:after="0" w:line="266"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all documentation and other information required by regulatory authorities with respect to the Loan Parties reasonably requested by the Administrative Agent or such Lender under applicable “know your customer” and anti-money laundering rules and regulations, including the Patriot Act and Beneficial Ownership Regulation.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Company’s filings with the SEC made prior to the Amendment No. 5 Effective Date, there shall not have occurred since December 31, 2024 any Materially Adverse Effect.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Solvency Certificate attesting to the Solvency of the Company and its Subsidiaries, taken as a whole, after giving effect to the Amendment No. 5 Transactions, from the chief financial officer of the Company.</w:t>
      </w:r>
    </w:p>
    <w:p>
      <w:pPr>
        <w:spacing w:after="0" w:line="16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Loan Party represents and warrants to the Administrative Agent and the Lenders that:</w:t>
      </w:r>
    </w:p>
    <w:p>
      <w:pPr>
        <w:spacing w:after="0" w:line="225" w:lineRule="exact"/>
        <w:rPr>
          <w:sz w:val="20"/>
          <w:szCs w:val="20"/>
          <w:color w:val="auto"/>
        </w:rPr>
      </w:pPr>
    </w:p>
    <w:p>
      <w:pPr>
        <w:jc w:val="both"/>
        <w:ind w:firstLine="656"/>
        <w:spacing w:after="0" w:line="252"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execution, delivery and performance by such party of this Amendment and the transactions contemplated hereby have been duly authorized by all necessary corporate or other action and do not and will not: (A) violate any Law currently in effect (other than violations that, singly or in the aggregate, have not had and are not likely to have a Materially Adverse Effect), or any provision of any of the Company’s or the Restricted Subsidiaries’ respective organizational documents presently in effect; (B) conflict with or result in the breach of, or constitute a default or require any consent under, or require any payment to be made under (1) any Contractual Obligation to which the Company or any of the Restricted Subsidiaries is a party or their respective properties may be bound or affected or (2) any order, injunction, writ or decree of any Governmental Authority or any arbitral award to which the Company or any of the Restricted Subsidiaries or their respective properties are subject (in each case, other than any conflict, breach, default or required consent that, singly or in the aggregate, have not had and are not likely to have a Materially Adverse Effect); (C) require the approval or consent of, or filing or registration with, any (1) Governmental Authority or (2) any other third party, in the case of this clause (2) pursuant to any Contractual Obligation that is material to the business of the Company or any of its Restricted Subsidiaries; or (D) except as provided under any Loan Document, result in, or require, the creation or imposition of any Lien upon or with respect to any of the properties or assets now owned or hereafter acquired by the Company or any of the Restricted Subsidiaries, and (ii) this Amendment has been duly executed and delivered by such party and this Amendment and the Amended Credit Agreement constitute a legal, valid and binding obligation of such party, enforceable against such party in accordance with its terms (except for limitations on enforceability under bankruptcy, reorganization, insolvency and other similar laws affecting creditors’ rights generally and limitations on the availability of the remedy of specific performance imposed by the application of general equitable principles).</w:t>
      </w:r>
    </w:p>
    <w:p>
      <w:pPr>
        <w:spacing w:after="0" w:line="19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immediately before and immediately after the Amendment No. 5 Effective Date, the representations and warranties of such Loan Party contained in the Credit Agreement and any other Loan Document are true and correct in all material respects (and in all respects if any such representation or warranty is already qualified by materiality);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expressly refer to an earlier date, they shall be true and correct in all material respects as of such earlier date.</w:t>
      </w:r>
    </w:p>
    <w:p>
      <w:pPr>
        <w:spacing w:after="0" w:line="1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the Amendment No. 5 Effective Date, no Default or Event of Default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Reference to and effect on the Credit Agreement and the Loan Documents</w:t>
      </w:r>
      <w:r>
        <w:rPr>
          <w:rFonts w:ascii="Times New Roman" w:cs="Times New Roman" w:eastAsia="Times New Roman" w:hAnsi="Times New Roman"/>
          <w:sz w:val="18"/>
          <w:szCs w:val="18"/>
          <w:color w:val="auto"/>
        </w:rPr>
        <w:t>. (a) On and after the effectiveness of this Amendment, each reference in the Credit Agreement to “this Credit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Amended Credit Agreement.</w:t>
      </w:r>
    </w:p>
    <w:p>
      <w:pPr>
        <w:spacing w:after="0" w:line="180" w:lineRule="exact"/>
        <w:rPr>
          <w:sz w:val="20"/>
          <w:szCs w:val="20"/>
          <w:color w:val="auto"/>
        </w:rPr>
      </w:pPr>
    </w:p>
    <w:p>
      <w:pPr>
        <w:jc w:val="both"/>
        <w:ind w:firstLine="656"/>
        <w:spacing w:after="0" w:line="266" w:lineRule="auto"/>
        <w:tabs>
          <w:tab w:leader="none" w:pos="10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as specifically amended by this Amendment, is and shall continue to be in full force and effect and is hereby in all respects ratified and confirmed. This Amendment is not intended to and shall not constitute a novation of the Credit Agreement. Without limiting the generality of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Collateral Documents and all of the Collateral described therein do and shall continue to secure the payment of all Obligations of the Loan Parties under the Loan Documents, in each case as amended by this Amendment.</w:t>
      </w:r>
    </w:p>
    <w:p>
      <w:pPr>
        <w:spacing w:after="0" w:line="162" w:lineRule="exact"/>
        <w:rPr>
          <w:sz w:val="20"/>
          <w:szCs w:val="20"/>
          <w:color w:val="auto"/>
        </w:rPr>
      </w:pPr>
    </w:p>
    <w:p>
      <w:pPr>
        <w:jc w:val="both"/>
        <w:ind w:firstLine="656"/>
        <w:spacing w:after="0" w:line="266" w:lineRule="auto"/>
        <w:tabs>
          <w:tab w:leader="none" w:pos="10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 ratifies and reaffirms all of its payment and performance obligations, contingent or otherwise, under each of the Loan Documents to which it is a party, (ii) ratifies and reaffirms each grant of a lien on, or security interest in, its property made pursuant to the Loan Documents (including, without limitation, the grant of security made by such Loan Party pursuant to the Security Agreement) and confirms that such liens and security interests continue to secure the Obligations under the Loan Documents (including the Amended Credit Agreement), subject to the terms thereof and (iii) in the case of each Guarantor, ratifies and reaffirms its guaranty of the Obligations pursuant to the Guaranty.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(other than clause (a) thereof)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Credit Agreement are hereby incorporated by reference as if set forth in full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this Amendment are for purposes of reference only and shall not be deemed to limit, amplify or modify the terms of this Amendment, nor affect the meaning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 agrees to pay all reasonable and documented out-of-pocket costs and expenses of the Administrative Agent in connection with the preparation, execution, delivery and administration of this Amendment and the other instruments and documents to be delivered hereunder (including, without limitation, the reasonable and documented fees and expenses of counsel for the Administrative Agent) in accordance with the terms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consideration of this Amendment and agreements of the Administrative Agent and the Lenders contained herein and for other good and valuable consideration, the receipt and sufficiency of which is hereby acknowledged, each of the Borrower, the Company and each Guarantor (each, a “Releasing Party”), on behalf of itself and its successors, assigns and other legal representatives hereby absolutely, unconditionally and irrevocably releases, remises and forever discharges the Administrative Agent,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Parties (the Administrative Agent, each Lender and all such other Persons being hereinafter referred to collectively as the “Releasees” and individually as a “Releasee”),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each Releasing Party or any of its successors, assigns or other legal representatives may now or hereafter own, hold, have or claim to have against the Releasees or any of them for, upon, or by reason of any circumstance, action, cause or thing whatsoever which arises at any time on or prior to the Amendment No. 5 Effective Date, for or on account of, or in relation to, or in any way in connection with the Credit Agreement or any of the other Loan Documents or transactions thereunder (any of the foregoing, a “Claim” and collectively, the “Claims”). Each of the Releasing Parties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each of the Releasing Parties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 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 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of (x) this Amendment and/or (y) any document, approval, consent, information, notice, certificate, request, statement disclosure or authorization related to this Amendment and/or the transactions contemplated 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(as defined below) transmitted by telecopy, e-mailed .pdf or any other electronic means that reproduces an image of an actual executed signature page shall be effective as delivery of a manually executed counterpart of this Amendment or such Ancillary Document, as applicable. The words “execution,” “signed,” “signature,” “delivery,” and words of like import in or relating to this Amendment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9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73" w:lineRule="auto"/>
        <w:tabs>
          <w:tab w:leader="none" w:pos="3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shall constitute and be deemed to be an Extension Amendment and Loan Document as defined in the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240"/>
          </w:cols>
          <w:pgMar w:left="320" w:top="1440" w:right="339" w:bottom="1440" w:gutter="0" w:footer="0" w:header="0"/>
        </w:sectPr>
      </w:pPr>
    </w:p>
    <w:bookmarkStart w:id="11" w:name="page12"/>
    <w:bookmarkEnd w:id="11"/>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Amendment to be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Patrick O'Connell</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Patrick O'Connell</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AMC NETWORK ENTERTAINMENT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Patrick O'Connell</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Patrick O'Connell</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i w:val="1"/>
          <w:iCs w:val="1"/>
          <w:color w:val="auto"/>
        </w:rPr>
        <w:t>Amendment No. 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4914-0366-6545 v.2</w:t>
      </w:r>
    </w:p>
    <w:p>
      <w:pPr>
        <w:sectPr>
          <w:pgSz w:w="11900" w:h="16838" w:orient="portrait"/>
          <w:cols w:equalWidth="0" w:num="1">
            <w:col w:w="10880"/>
          </w:cols>
          <w:pgMar w:left="320" w:top="1418" w:right="699" w:bottom="1440" w:gutter="0" w:footer="0" w:header="0"/>
        </w:sectPr>
      </w:pPr>
    </w:p>
    <w:bookmarkStart w:id="12" w:name="page13"/>
    <w:bookmarkEnd w:id="12"/>
    <w:p>
      <w:pPr>
        <w:ind w:left="3000"/>
        <w:spacing w:after="0"/>
        <w:rPr>
          <w:sz w:val="20"/>
          <w:szCs w:val="20"/>
          <w:color w:val="auto"/>
        </w:rPr>
      </w:pPr>
      <w:r>
        <w:rPr>
          <w:rFonts w:ascii="Times New Roman" w:cs="Times New Roman" w:eastAsia="Times New Roman" w:hAnsi="Times New Roman"/>
          <w:sz w:val="21"/>
          <w:szCs w:val="21"/>
          <w:color w:val="auto"/>
        </w:rPr>
        <w:t>2ND PARTY LLC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ACROSS THE RIVER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CONTENT DISTRIBUTION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GAMES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FILM HOLDINGS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NETWORKS BROADCASTING &amp; TECHNOLOGY</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NETWORK ENTERTAINMENT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NETWORKS INTERNATIONAL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PLUS HOLDINGS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PREMIERE LLC</w:t>
      </w:r>
    </w:p>
    <w:p>
      <w:pPr>
        <w:spacing w:after="0" w:line="12" w:lineRule="exact"/>
        <w:rPr>
          <w:sz w:val="20"/>
          <w:szCs w:val="20"/>
          <w:color w:val="auto"/>
        </w:rPr>
      </w:pPr>
    </w:p>
    <w:p>
      <w:pPr>
        <w:ind w:left="3000" w:right="1919"/>
        <w:spacing w:after="0" w:line="245" w:lineRule="auto"/>
        <w:rPr>
          <w:sz w:val="20"/>
          <w:szCs w:val="20"/>
          <w:color w:val="auto"/>
        </w:rPr>
      </w:pPr>
      <w:r>
        <w:rPr>
          <w:rFonts w:ascii="Times New Roman" w:cs="Times New Roman" w:eastAsia="Times New Roman" w:hAnsi="Times New Roman"/>
          <w:sz w:val="21"/>
          <w:szCs w:val="21"/>
          <w:color w:val="auto"/>
        </w:rPr>
        <w:t>AMC NETWORKS PRODUCTIONS LLC AMC/SUNDANCE CHANNEL GLOBAL NETWORKS LLC AMCN PROPERTIES LLC</w:t>
      </w:r>
    </w:p>
    <w:p>
      <w:pPr>
        <w:spacing w:after="0" w:line="3" w:lineRule="exact"/>
        <w:rPr>
          <w:sz w:val="20"/>
          <w:szCs w:val="20"/>
          <w:color w:val="auto"/>
        </w:rPr>
      </w:pPr>
    </w:p>
    <w:p>
      <w:pPr>
        <w:ind w:left="3000" w:right="1519"/>
        <w:spacing w:after="0" w:line="248" w:lineRule="auto"/>
        <w:rPr>
          <w:sz w:val="20"/>
          <w:szCs w:val="20"/>
          <w:color w:val="auto"/>
        </w:rPr>
      </w:pPr>
      <w:r>
        <w:rPr>
          <w:rFonts w:ascii="Times New Roman" w:cs="Times New Roman" w:eastAsia="Times New Roman" w:hAnsi="Times New Roman"/>
          <w:sz w:val="21"/>
          <w:szCs w:val="21"/>
          <w:color w:val="auto"/>
        </w:rPr>
        <w:t>AMERICAN MOVIE CLASSICS IV HOLDING CORPORATION DIGITAL STORE LLC</w:t>
      </w:r>
    </w:p>
    <w:p>
      <w:pPr>
        <w:ind w:left="3000"/>
        <w:spacing w:after="0"/>
        <w:rPr>
          <w:sz w:val="20"/>
          <w:szCs w:val="20"/>
          <w:color w:val="auto"/>
        </w:rPr>
      </w:pPr>
      <w:r>
        <w:rPr>
          <w:rFonts w:ascii="Times New Roman" w:cs="Times New Roman" w:eastAsia="Times New Roman" w:hAnsi="Times New Roman"/>
          <w:sz w:val="21"/>
          <w:szCs w:val="21"/>
          <w:color w:val="auto"/>
        </w:rPr>
        <w:t>IFC ENTERTAINMENT HOLDINGS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ENTERTAINMENT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FILMS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IN THEATERS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PRODUCTIONS 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TELEVISION HOLDINGS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THEATRES CONCESSIONS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THEATRES,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TV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TV STUDIOS HOLDINGS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RAINBOW MEDIA ENTERPRISES, INC.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RAINBOW MEDIA HOLDINGS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RNC HOLDING CORPORATION</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RNC II HOLDING CORPORATION</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SELECTS VOD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SHUDDER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SUNDANCE FILM HOLDINGS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SUNDANCETV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VOOM HD HOLDINGS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WE TV HOLDINGS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WE TV LLC</w:t>
      </w:r>
    </w:p>
    <w:p>
      <w:pPr>
        <w:spacing w:after="0" w:line="23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As Guarantors</w:t>
      </w:r>
    </w:p>
    <w:p>
      <w:pPr>
        <w:spacing w:after="0" w:line="3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Shwartz</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Edward Schwartz</w:t>
      </w:r>
    </w:p>
    <w:p>
      <w:pPr>
        <w:spacing w:after="0" w:line="14" w:lineRule="exact"/>
        <w:rPr>
          <w:sz w:val="20"/>
          <w:szCs w:val="20"/>
          <w:color w:val="auto"/>
        </w:rPr>
      </w:pPr>
    </w:p>
    <w:p>
      <w:pPr>
        <w:ind w:left="3480"/>
        <w:spacing w:after="0"/>
        <w:tabs>
          <w:tab w:leader="none" w:pos="4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 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4914-0366-6545 v.2</w:t>
      </w:r>
    </w:p>
    <w:p>
      <w:pPr>
        <w:sectPr>
          <w:pgSz w:w="11900" w:h="16838" w:orient="portrait"/>
          <w:cols w:equalWidth="0" w:num="1">
            <w:col w:w="10139"/>
          </w:cols>
          <w:pgMar w:left="320" w:top="1335" w:right="1440" w:bottom="1440" w:gutter="0" w:footer="0" w:header="0"/>
        </w:sectPr>
      </w:pPr>
    </w:p>
    <w:bookmarkStart w:id="13" w:name="page14"/>
    <w:bookmarkEnd w:id="13"/>
    <w:p>
      <w:pPr>
        <w:ind w:left="3000"/>
        <w:spacing w:after="0"/>
        <w:rPr>
          <w:sz w:val="20"/>
          <w:szCs w:val="20"/>
          <w:color w:val="auto"/>
        </w:rPr>
      </w:pPr>
      <w:r>
        <w:rPr>
          <w:rFonts w:ascii="Times New Roman" w:cs="Times New Roman" w:eastAsia="Times New Roman" w:hAnsi="Times New Roman"/>
          <w:sz w:val="21"/>
          <w:szCs w:val="21"/>
          <w:color w:val="auto"/>
        </w:rPr>
        <w:t>61ST STREET PRODUCTIONS I LLC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AESIR MEDIA GROUP,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AMC TV STUDIOS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ANIMAL CONTROL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ANIME NETWORK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ANTHEM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BADLANDS PRODUCTIONS 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BADLANDS PRODUCTIONS II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BROCKMIRE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COBALT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COMIC SCRIBE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CROSSED PENS DEVELOPMENT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DARK WINDS PRODUCTIONS 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DISPATCHES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EXPEDITION PRODUCTIONS 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FIVE FAMILIES PRODUCTIONS 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FIVE MOONS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GEESE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GROUND WORK PRODUCTIONS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HALT AND CATCH FIRE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HALT AND CATCH FIRE PRODUCTIONS 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HALT AND CATCH FIRE PRODUCTIONS II LLC</w:t>
      </w:r>
    </w:p>
    <w:p>
      <w:pPr>
        <w:spacing w:after="0" w:line="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HALT AND CATCH FIRE PRODUCTIONS III LLC</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HALT AND CATCH FIRE PRODUCTIONS IV LLC</w:t>
      </w:r>
    </w:p>
    <w:p>
      <w:pPr>
        <w:spacing w:after="0" w:line="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HAP AND LEONARD PRODUCTIONS II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HAP AND LEONARD PRODUCTIONS III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HIDIVE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IFC TV STUDIOS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JAPAN CREATIVE CONTENTS ALLIANCE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KINDRED SPIRIT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KOPUS PRODUCTIONS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KOPUS PRODUCTIONS II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LODGE PRODUCTIONS 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LODGE PRODUCTIONS II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MAKING WAVES STUDIO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MECHANICAL PRODUCTIONS 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MONUMENT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MOONHAVEN PRODUCTIONS I LLC</w:t>
      </w:r>
    </w:p>
    <w:p>
      <w:pPr>
        <w:spacing w:after="0" w:line="2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As Guarantors</w:t>
      </w:r>
    </w:p>
    <w:p>
      <w:pPr>
        <w:spacing w:after="0" w:line="3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Shwartz</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Edward Schwartz</w:t>
      </w:r>
    </w:p>
    <w:p>
      <w:pPr>
        <w:spacing w:after="0" w:line="28" w:lineRule="exact"/>
        <w:rPr>
          <w:sz w:val="20"/>
          <w:szCs w:val="20"/>
          <w:color w:val="auto"/>
        </w:rPr>
      </w:pPr>
    </w:p>
    <w:p>
      <w:pPr>
        <w:ind w:left="3480"/>
        <w:spacing w:after="0"/>
        <w:tabs>
          <w:tab w:leader="none" w:pos="4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 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4914-0366-6545 v.2</w:t>
      </w:r>
    </w:p>
    <w:p>
      <w:pPr>
        <w:sectPr>
          <w:pgSz w:w="11900" w:h="16838" w:orient="portrait"/>
          <w:cols w:equalWidth="0" w:num="1">
            <w:col w:w="10139"/>
          </w:cols>
          <w:pgMar w:left="320" w:top="1335" w:right="1440" w:bottom="1440" w:gutter="0" w:footer="0" w:header="0"/>
        </w:sectPr>
      </w:pPr>
    </w:p>
    <w:bookmarkStart w:id="14" w:name="page15"/>
    <w:bookmarkEnd w:id="14"/>
    <w:p>
      <w:pPr>
        <w:ind w:left="3000"/>
        <w:spacing w:after="0"/>
        <w:rPr>
          <w:sz w:val="20"/>
          <w:szCs w:val="20"/>
          <w:color w:val="auto"/>
        </w:rPr>
      </w:pPr>
      <w:r>
        <w:rPr>
          <w:rFonts w:ascii="Times New Roman" w:cs="Times New Roman" w:eastAsia="Times New Roman" w:hAnsi="Times New Roman"/>
          <w:sz w:val="21"/>
          <w:szCs w:val="21"/>
          <w:color w:val="auto"/>
        </w:rPr>
        <w:t>NEWFOUND LAKE PRODUCTIONS I LLC</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NOS4A2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PEACH PIT PROPERTIES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PEACHWOOD PRODUCTIONS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PENS DOWN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PREMIER QUILLS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RECTIFY PRODUCTIONS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RECTIFY PRODUCTIONS II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RECTIFY PRODUCTIONS III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RECTIFY PRODUCTIONS IV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RED MONDAY PROGRAMMING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ROUGHHOUSE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SENTAI FILMWORKS,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SENTAI HOLDINGS,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SLEUTH SECRETS PRODUCTIONS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STALWART PRODUCTIONS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STAN PRODUCTIONS 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STAN PRODUCTIONS II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SUNDANCE CHANNEL ORIGINALS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SXION 23,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TALES PRODUCTIONS 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IV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V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VI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VII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VIII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IX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X LLC</w:t>
      </w:r>
    </w:p>
    <w:p>
      <w:pPr>
        <w:spacing w:after="0" w:line="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TWD PRODUCTIONS XI LLC</w:t>
      </w:r>
    </w:p>
    <w:p>
      <w:pPr>
        <w:spacing w:after="0" w:line="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UNIVERSE PRODUCTIONS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VAMPIRE CHRONICLES PRODUCTIONS I LLC</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WE TV STUDIOS LLC</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WOODBURY STUDIOS LLC</w:t>
      </w:r>
    </w:p>
    <w:p>
      <w:pPr>
        <w:spacing w:after="0" w:line="2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As Guarantors</w:t>
      </w:r>
    </w:p>
    <w:p>
      <w:pPr>
        <w:spacing w:after="0" w:line="3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Edward Shwartz</w:t>
      </w:r>
    </w:p>
    <w:p>
      <w:pPr>
        <w:spacing w:after="0" w:line="13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Edward Schwartz</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 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4914-0366-6545 v.2</w:t>
      </w:r>
    </w:p>
    <w:p>
      <w:pPr>
        <w:sectPr>
          <w:pgSz w:w="11900" w:h="16838" w:orient="portrait"/>
          <w:cols w:equalWidth="0" w:num="1">
            <w:col w:w="10139"/>
          </w:cols>
          <w:pgMar w:left="320" w:top="1416" w:right="1440" w:bottom="1440" w:gutter="0" w:footer="0" w:header="0"/>
        </w:sectPr>
      </w:pPr>
    </w:p>
    <w:bookmarkStart w:id="15" w:name="page16"/>
    <w:bookmarkEnd w:id="15"/>
    <w:p>
      <w:pPr>
        <w:spacing w:after="0" w:line="2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IFC THEATRES, LLC</w:t>
      </w:r>
    </w:p>
    <w:p>
      <w:pPr>
        <w:spacing w:after="0" w:line="3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As Guarantor</w:t>
      </w:r>
    </w:p>
    <w:p>
      <w:pPr>
        <w:spacing w:after="0" w:line="17" w:lineRule="exact"/>
        <w:rPr>
          <w:sz w:val="20"/>
          <w:szCs w:val="20"/>
          <w:color w:val="auto"/>
        </w:rPr>
      </w:pPr>
    </w:p>
    <w:p>
      <w:pPr>
        <w:ind w:left="4020"/>
        <w:spacing w:after="0"/>
        <w:tabs>
          <w:tab w:leader="none" w:pos="4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Sal Romanello</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Sal Romanello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jc w:val="both"/>
        <w:ind w:left="450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tab/>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 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4914-0366-6545 v.2</w:t>
      </w:r>
    </w:p>
    <w:p>
      <w:pPr>
        <w:sectPr>
          <w:pgSz w:w="11900" w:h="16838" w:orient="portrait"/>
          <w:cols w:equalWidth="0" w:num="1">
            <w:col w:w="10139"/>
          </w:cols>
          <w:pgMar w:left="320" w:top="1440" w:right="1440" w:bottom="1440" w:gutter="0" w:footer="0" w:header="0"/>
        </w:sectPr>
      </w:pPr>
    </w:p>
    <w:bookmarkStart w:id="16" w:name="page17"/>
    <w:bookmarkEnd w:id="16"/>
    <w:p>
      <w:pPr>
        <w:ind w:left="390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as Administrative Agent, Collateral Agent, Consenting Lender, Swing Line Lender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and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Patrick J. Minnick</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Patrick J. Minnick</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1080"/>
          </w:cols>
          <w:pgMar w:left="320" w:top="1418" w:right="499" w:bottom="1440" w:gutter="0" w:footer="0" w:header="0"/>
        </w:sectPr>
      </w:pPr>
    </w:p>
    <w:bookmarkStart w:id="17" w:name="page18"/>
    <w:bookmarkEnd w:id="17"/>
    <w:p>
      <w:pPr>
        <w:ind w:left="3900"/>
        <w:spacing w:after="0"/>
        <w:rPr>
          <w:sz w:val="20"/>
          <w:szCs w:val="20"/>
          <w:color w:val="auto"/>
        </w:rPr>
      </w:pPr>
      <w:r>
        <w:rPr>
          <w:rFonts w:ascii="Times New Roman" w:cs="Times New Roman" w:eastAsia="Times New Roman" w:hAnsi="Times New Roman"/>
          <w:sz w:val="22"/>
          <w:szCs w:val="22"/>
          <w:b w:val="1"/>
          <w:bCs w:val="1"/>
          <w:color w:val="auto"/>
        </w:rPr>
        <w:t>CITIBANK, N.A.</w:t>
      </w:r>
      <w:r>
        <w:rPr>
          <w:rFonts w:ascii="Times New Roman" w:cs="Times New Roman" w:eastAsia="Times New Roman" w:hAnsi="Times New Roman"/>
          <w:sz w:val="22"/>
          <w:szCs w:val="22"/>
          <w:color w:val="auto"/>
        </w:rPr>
        <w:t>, as a Consenting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Keith Lukasavich</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Keith Lukasavich</w:t>
      </w:r>
    </w:p>
    <w:p>
      <w:pPr>
        <w:spacing w:after="0" w:line="5"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22"/>
          <w:szCs w:val="22"/>
          <w:color w:val="auto"/>
        </w:rPr>
        <w:t>Title: Vice President and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0139"/>
          </w:cols>
          <w:pgMar w:left="320" w:top="1418" w:right="1440" w:bottom="1440" w:gutter="0" w:footer="0" w:header="0"/>
        </w:sectPr>
      </w:pPr>
    </w:p>
    <w:bookmarkStart w:id="18" w:name="page19"/>
    <w:bookmarkEnd w:id="18"/>
    <w:p>
      <w:pPr>
        <w:jc w:val="right"/>
        <w:ind w:right="2619"/>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 as a Consenting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William S. Krueger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William S. Krueger</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0139"/>
          </w:cols>
          <w:pgMar w:left="320" w:top="1418"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FIFTH THIRD BANK, NATIONAL ASSOCIATION</w:t>
      </w:r>
      <w:r>
        <w:rPr>
          <w:rFonts w:ascii="Times New Roman" w:cs="Times New Roman" w:eastAsia="Times New Roman" w:hAnsi="Times New Roman"/>
          <w:sz w:val="22"/>
          <w:szCs w:val="22"/>
          <w:color w:val="auto"/>
        </w:rPr>
        <w:t>, as a Consenting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Jason Shrader</w:t>
      </w:r>
    </w:p>
    <w:p>
      <w:pPr>
        <w:spacing w:after="0" w:line="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Jason Shrader</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0940"/>
          </w:cols>
          <w:pgMar w:left="320" w:top="1418" w:right="6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MORGAN STANLEY SENIOR FUNDING, INC.</w:t>
      </w:r>
      <w:r>
        <w:rPr>
          <w:rFonts w:ascii="Times New Roman" w:cs="Times New Roman" w:eastAsia="Times New Roman" w:hAnsi="Times New Roman"/>
          <w:sz w:val="22"/>
          <w:szCs w:val="22"/>
          <w:color w:val="auto"/>
        </w:rPr>
        <w:t>, as a Consenting Lender</w:t>
      </w: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King</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0600"/>
          </w:cols>
          <w:pgMar w:left="320" w:top="1418" w:right="979" w:bottom="1440" w:gutter="0" w:footer="0" w:header="0"/>
        </w:sectPr>
      </w:pPr>
    </w:p>
    <w:bookmarkStart w:id="21" w:name="page22"/>
    <w:bookmarkEnd w:id="21"/>
    <w:p>
      <w:pPr>
        <w:jc w:val="right"/>
        <w:ind w:right="279"/>
        <w:spacing w:after="0"/>
        <w:rPr>
          <w:sz w:val="20"/>
          <w:szCs w:val="20"/>
          <w:color w:val="auto"/>
        </w:rPr>
      </w:pPr>
      <w:r>
        <w:rPr>
          <w:rFonts w:ascii="Times New Roman" w:cs="Times New Roman" w:eastAsia="Times New Roman" w:hAnsi="Times New Roman"/>
          <w:sz w:val="22"/>
          <w:szCs w:val="22"/>
          <w:b w:val="1"/>
          <w:bCs w:val="1"/>
          <w:color w:val="auto"/>
        </w:rPr>
        <w:t>U.S. BANK NATIONAL ASSOCIATION</w:t>
      </w:r>
      <w:r>
        <w:rPr>
          <w:rFonts w:ascii="Times New Roman" w:cs="Times New Roman" w:eastAsia="Times New Roman" w:hAnsi="Times New Roman"/>
          <w:sz w:val="22"/>
          <w:szCs w:val="22"/>
          <w:color w:val="auto"/>
        </w:rPr>
        <w:t>, as a Consenting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Rudy</w:t>
      </w:r>
    </w:p>
    <w:p>
      <w:pPr>
        <w:spacing w:after="0" w:line="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Matthew Rudy</w:t>
      </w:r>
    </w:p>
    <w:p>
      <w:pPr>
        <w:spacing w:after="0" w:line="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Amendment No.5 to Credit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4914-0366-6545 v.2</w:t>
      </w:r>
    </w:p>
    <w:p>
      <w:pPr>
        <w:sectPr>
          <w:pgSz w:w="11900" w:h="16838" w:orient="portrait"/>
          <w:cols w:equalWidth="0" w:num="1">
            <w:col w:w="10139"/>
          </w:cols>
          <w:pgMar w:left="320" w:top="1418" w:right="1440" w:bottom="1440" w:gutter="0" w:footer="0" w:header="0"/>
        </w:sectPr>
      </w:pPr>
    </w:p>
    <w:bookmarkStart w:id="22" w:name="page23"/>
    <w:bookmarkEnd w:id="22"/>
    <w:p>
      <w:pPr>
        <w:jc w:val="right"/>
        <w:ind w:right="2939"/>
        <w:spacing w:after="0"/>
        <w:rPr>
          <w:sz w:val="20"/>
          <w:szCs w:val="20"/>
          <w:color w:val="auto"/>
        </w:rPr>
      </w:pPr>
      <w:r>
        <w:rPr>
          <w:rFonts w:ascii="Times New Roman" w:cs="Times New Roman" w:eastAsia="Times New Roman" w:hAnsi="Times New Roman"/>
          <w:sz w:val="22"/>
          <w:szCs w:val="22"/>
          <w:color w:val="auto"/>
        </w:rPr>
        <w:t>FORM OF CREDIT AGREEMENT</w:t>
      </w:r>
    </w:p>
    <w:p>
      <w:pPr>
        <w:spacing w:after="0" w:line="200" w:lineRule="exact"/>
        <w:rPr>
          <w:sz w:val="20"/>
          <w:szCs w:val="20"/>
          <w:color w:val="auto"/>
        </w:rPr>
      </w:pPr>
    </w:p>
    <w:p>
      <w:pPr>
        <w:spacing w:after="0" w:line="2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139"/>
          </w:cols>
          <w:pgMar w:left="320" w:top="1179" w:right="1440" w:bottom="1440" w:gutter="0" w:footer="0" w:header="0"/>
        </w:sectPr>
      </w:pPr>
    </w:p>
    <w:bookmarkStart w:id="23" w:name="page24"/>
    <w:bookmarkEnd w:id="23"/>
    <w:p>
      <w:pPr>
        <w:jc w:val="right"/>
        <w:ind w:right="60"/>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EXECUTION VERSION</w:t>
      </w:r>
      <w:r>
        <w:rPr>
          <w:rFonts w:ascii="Times New Roman" w:cs="Times New Roman" w:eastAsia="Times New Roman" w:hAnsi="Times New Roman"/>
          <w:sz w:val="18"/>
          <w:szCs w:val="18"/>
          <w:b w:val="1"/>
          <w:bCs w:val="1"/>
          <w:i w:val="1"/>
          <w:iCs w:val="1"/>
          <w:u w:val="single" w:color="auto"/>
          <w:color w:val="0000FF"/>
          <w:strike w:val="1"/>
        </w:rPr>
        <w:t>Execution Version</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CONFIDENTIAL</w:t>
      </w:r>
    </w:p>
    <w:p>
      <w:pPr>
        <w:spacing w:after="0" w:line="10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Published CUSIP Number: 00164YAE7</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0000FF"/>
        </w:rPr>
        <w:t>Non-Extended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Revolving Credit CUSIP Number: 00164YAF4</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u w:val="single" w:color="auto"/>
          <w:color w:val="0000FF"/>
        </w:rPr>
        <w:t>Extended Revolving Credit CUSIP Number: 00164YAK3</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 xml:space="preserve">Non-Extended Term A Loan CUSIP Number: </w:t>
      </w:r>
      <w:r>
        <w:rPr>
          <w:rFonts w:ascii="Times New Roman" w:cs="Times New Roman" w:eastAsia="Times New Roman" w:hAnsi="Times New Roman"/>
          <w:sz w:val="18"/>
          <w:szCs w:val="18"/>
          <w:b w:val="1"/>
          <w:bCs w:val="1"/>
          <w:color w:val="FF0000"/>
          <w:strike w:val="1"/>
        </w:rPr>
        <w:t>00164YAG2</w:t>
      </w:r>
      <w:r>
        <w:rPr>
          <w:rFonts w:ascii="Times New Roman" w:cs="Times New Roman" w:eastAsia="Times New Roman" w:hAnsi="Times New Roman"/>
          <w:sz w:val="18"/>
          <w:szCs w:val="18"/>
          <w:b w:val="1"/>
          <w:bCs w:val="1"/>
          <w:u w:val="single" w:color="auto"/>
          <w:color w:val="0000FF"/>
        </w:rPr>
        <w:t>00164YAJ6</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FF0000"/>
          <w:strike w:val="1"/>
        </w:rPr>
        <w:t>Extended Term A Loan CUSIP Number: 00164YAJ6</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July 28,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AMC NETWORKS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the Company and an initial Borrower,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AMC NETWORK ENTERTAINMENT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an initial Borrower,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SUBSIDIARIES OF THE 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Restricted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LENDERS PARTY HERETO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an L/C Issuer,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 Collateral Agent and an L/C Issuer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MERRILL LYNCH, PIERCE, FENNER &amp; SMITH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3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THE BANK OF NOVA SCOTIA, THE BANK OF TOKYO-MITSUBISHI UFJ, LTD.,</w:t>
      </w:r>
    </w:p>
    <w:p>
      <w:pPr>
        <w:spacing w:after="0" w:line="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BNP PARIBAS, CITIBANK, N.A., FIFTH THIRD BANK, NATIONAL ASSOCIATION,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TRUIST SECURITIES, INC., U.S. BANK NATIONAL ASSOCIATION</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WELLS FARGO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as Joint Bookrunners and Co-Documentation Agents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34" w:lineRule="exact"/>
        <w:rPr>
          <w:sz w:val="20"/>
          <w:szCs w:val="20"/>
          <w:color w:val="auto"/>
        </w:rPr>
      </w:pPr>
    </w:p>
    <w:p>
      <w:pPr>
        <w:jc w:val="center"/>
        <w:ind w:left="40" w:right="20"/>
        <w:spacing w:after="0" w:line="266" w:lineRule="auto"/>
        <w:rPr>
          <w:sz w:val="20"/>
          <w:szCs w:val="20"/>
          <w:color w:val="auto"/>
        </w:rPr>
      </w:pPr>
      <w:r>
        <w:rPr>
          <w:rFonts w:ascii="Times New Roman" w:cs="Times New Roman" w:eastAsia="Times New Roman" w:hAnsi="Times New Roman"/>
          <w:sz w:val="18"/>
          <w:szCs w:val="18"/>
          <w:color w:val="auto"/>
        </w:rPr>
        <w:t>(as amended pursuant to Amendment No. 1, dated as of February 8, 2021, as further amended pursuant to Amendment No. 2, dated as of April 19, 2023, as further amended pursuant to Amendment No. 3, dated as of April 9, 2024</w:t>
      </w:r>
      <w:r>
        <w:rPr>
          <w:rFonts w:ascii="Times New Roman" w:cs="Times New Roman" w:eastAsia="Times New Roman" w:hAnsi="Times New Roman"/>
          <w:sz w:val="18"/>
          <w:szCs w:val="18"/>
          <w:u w:val="single" w:color="auto"/>
          <w:color w:val="0000FF"/>
        </w:rPr>
        <w:t>, as further amended pursuant to Amendment No. 4, dated as of September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2024 and as further amended pursuant to Amendment No. 5, dated as of October 29, 2025</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51" w:right="339" w:bottom="1440" w:gutter="0" w:footer="0" w:header="0"/>
          <w:type w:val="continuous"/>
        </w:sectPr>
      </w:pPr>
    </w:p>
    <w:bookmarkStart w:id="24" w:name="page25"/>
    <w:bookmarkEnd w:id="24"/>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0000FF"/>
        </w:rPr>
        <w:t>ARTICLE I</w:t>
      </w:r>
    </w:p>
    <w:p>
      <w:pPr>
        <w:spacing w:after="0" w:line="27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DEFINITIONS AND ACCOUNTING MATTERS</w:t>
      </w:r>
    </w:p>
    <w:p>
      <w:pPr>
        <w:spacing w:after="0" w:line="224" w:lineRule="exact"/>
        <w:rPr>
          <w:sz w:val="20"/>
          <w:szCs w:val="20"/>
          <w:color w:val="auto"/>
        </w:rPr>
      </w:pPr>
    </w:p>
    <w:p>
      <w:pPr>
        <w:ind w:left="780"/>
        <w:spacing w:after="0"/>
        <w:tabs>
          <w:tab w:leader="none" w:pos="2060" w:val="left"/>
          <w:tab w:leader="dot" w:pos="8720" w:val="left"/>
        </w:tabs>
        <w:rPr>
          <w:sz w:val="20"/>
          <w:szCs w:val="20"/>
          <w:color w:val="auto"/>
        </w:rPr>
      </w:pPr>
      <w:r>
        <w:rPr>
          <w:rFonts w:ascii="Times New Roman" w:cs="Times New Roman" w:eastAsia="Times New Roman" w:hAnsi="Times New Roman"/>
          <w:sz w:val="22"/>
          <w:szCs w:val="22"/>
          <w:color w:val="0000FF"/>
        </w:rPr>
        <w:t>Section 1.01</w:t>
        <w:tab/>
        <w:t>Certain Defined Terms</w:t>
      </w:r>
      <w:r>
        <w:rPr>
          <w:sz w:val="20"/>
          <w:szCs w:val="20"/>
          <w:color w:val="auto"/>
        </w:rPr>
        <w:tab/>
      </w:r>
      <w:r>
        <w:rPr>
          <w:rFonts w:ascii="Times New Roman" w:cs="Times New Roman" w:eastAsia="Times New Roman" w:hAnsi="Times New Roman"/>
          <w:sz w:val="22"/>
          <w:szCs w:val="22"/>
          <w:color w:val="auto"/>
        </w:rPr>
        <w:t>1</w:t>
      </w:r>
    </w:p>
    <w:p>
      <w:pPr>
        <w:spacing w:after="0" w:line="28"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1.02</w:t>
        <w:tab/>
        <w:t>Other Interpretive Provisions</w:t>
      </w:r>
      <w:r>
        <w:rPr>
          <w:sz w:val="20"/>
          <w:szCs w:val="20"/>
          <w:color w:val="auto"/>
        </w:rPr>
        <w:tab/>
      </w:r>
      <w:r>
        <w:rPr>
          <w:rFonts w:ascii="Times New Roman" w:cs="Times New Roman" w:eastAsia="Times New Roman" w:hAnsi="Times New Roman"/>
          <w:sz w:val="19"/>
          <w:szCs w:val="19"/>
          <w:color w:val="FF0000"/>
          <w:strike w:val="1"/>
        </w:rPr>
        <w:t>58</w:t>
      </w:r>
      <w:r>
        <w:rPr>
          <w:rFonts w:ascii="Times New Roman" w:cs="Times New Roman" w:eastAsia="Times New Roman" w:hAnsi="Times New Roman"/>
          <w:sz w:val="19"/>
          <w:szCs w:val="19"/>
          <w:u w:val="single" w:color="auto"/>
          <w:color w:val="0000FF"/>
          <w:strike w:val="1"/>
        </w:rPr>
        <w:t>59</w:t>
      </w:r>
    </w:p>
    <w:p>
      <w:pPr>
        <w:spacing w:after="0" w:line="4"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1.03</w:t>
        <w:tab/>
        <w:t>Accounting Terms</w:t>
      </w:r>
      <w:r>
        <w:rPr>
          <w:sz w:val="20"/>
          <w:szCs w:val="20"/>
          <w:color w:val="auto"/>
        </w:rPr>
        <w:tab/>
      </w:r>
      <w:r>
        <w:rPr>
          <w:rFonts w:ascii="Times New Roman" w:cs="Times New Roman" w:eastAsia="Times New Roman" w:hAnsi="Times New Roman"/>
          <w:sz w:val="19"/>
          <w:szCs w:val="19"/>
          <w:color w:val="FF0000"/>
          <w:strike w:val="1"/>
        </w:rPr>
        <w:t>59</w:t>
      </w:r>
      <w:r>
        <w:rPr>
          <w:rFonts w:ascii="Times New Roman" w:cs="Times New Roman" w:eastAsia="Times New Roman" w:hAnsi="Times New Roman"/>
          <w:sz w:val="19"/>
          <w:szCs w:val="19"/>
          <w:u w:val="single" w:color="auto"/>
          <w:color w:val="0000FF"/>
          <w:strike w:val="1"/>
        </w:rPr>
        <w:t>60</w:t>
      </w:r>
    </w:p>
    <w:p>
      <w:pPr>
        <w:spacing w:after="0" w:line="4"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1.04</w:t>
        <w:tab/>
        <w:t>Rounding</w:t>
      </w:r>
      <w:r>
        <w:rPr>
          <w:sz w:val="20"/>
          <w:szCs w:val="20"/>
          <w:color w:val="auto"/>
        </w:rPr>
        <w:tab/>
      </w:r>
      <w:r>
        <w:rPr>
          <w:rFonts w:ascii="Times New Roman" w:cs="Times New Roman" w:eastAsia="Times New Roman" w:hAnsi="Times New Roman"/>
          <w:sz w:val="21"/>
          <w:szCs w:val="21"/>
          <w:color w:val="FF0000"/>
          <w:strike w:val="1"/>
        </w:rPr>
        <w:t>59</w:t>
      </w:r>
      <w:r>
        <w:rPr>
          <w:rFonts w:ascii="Times New Roman" w:cs="Times New Roman" w:eastAsia="Times New Roman" w:hAnsi="Times New Roman"/>
          <w:sz w:val="21"/>
          <w:szCs w:val="21"/>
          <w:u w:val="single" w:color="auto"/>
          <w:color w:val="0000FF"/>
          <w:strike w:val="1"/>
        </w:rPr>
        <w:t>61</w:t>
      </w:r>
    </w:p>
    <w:p>
      <w:pPr>
        <w:spacing w:after="0" w:line="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1.05</w:t>
        <w:tab/>
        <w:t>Times of Day</w:t>
      </w:r>
      <w:r>
        <w:rPr>
          <w:sz w:val="20"/>
          <w:szCs w:val="20"/>
          <w:color w:val="auto"/>
        </w:rPr>
        <w:tab/>
      </w:r>
      <w:r>
        <w:rPr>
          <w:rFonts w:ascii="Times New Roman" w:cs="Times New Roman" w:eastAsia="Times New Roman" w:hAnsi="Times New Roman"/>
          <w:sz w:val="19"/>
          <w:szCs w:val="19"/>
          <w:color w:val="FF0000"/>
          <w:strike w:val="1"/>
        </w:rPr>
        <w:t>60</w:t>
      </w:r>
      <w:r>
        <w:rPr>
          <w:rFonts w:ascii="Times New Roman" w:cs="Times New Roman" w:eastAsia="Times New Roman" w:hAnsi="Times New Roman"/>
          <w:sz w:val="19"/>
          <w:szCs w:val="19"/>
          <w:u w:val="single" w:color="auto"/>
          <w:color w:val="0000FF"/>
          <w:strike w:val="1"/>
        </w:rPr>
        <w:t>61</w:t>
      </w:r>
    </w:p>
    <w:p>
      <w:pPr>
        <w:spacing w:after="0" w:line="1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1.06</w:t>
        <w:tab/>
        <w:t>Letter of Credit Amounts</w:t>
      </w:r>
      <w:r>
        <w:rPr>
          <w:sz w:val="20"/>
          <w:szCs w:val="20"/>
          <w:color w:val="auto"/>
        </w:rPr>
        <w:tab/>
      </w:r>
      <w:r>
        <w:rPr>
          <w:rFonts w:ascii="Times New Roman" w:cs="Times New Roman" w:eastAsia="Times New Roman" w:hAnsi="Times New Roman"/>
          <w:sz w:val="19"/>
          <w:szCs w:val="19"/>
          <w:color w:val="FF0000"/>
          <w:strike w:val="1"/>
        </w:rPr>
        <w:t>60</w:t>
      </w:r>
      <w:r>
        <w:rPr>
          <w:rFonts w:ascii="Times New Roman" w:cs="Times New Roman" w:eastAsia="Times New Roman" w:hAnsi="Times New Roman"/>
          <w:sz w:val="19"/>
          <w:szCs w:val="19"/>
          <w:u w:val="single" w:color="auto"/>
          <w:color w:val="0000FF"/>
          <w:strike w:val="1"/>
        </w:rPr>
        <w:t>61</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1.07</w:t>
        <w:tab/>
        <w:t>Currency Equivalents and Calculations Generally</w:t>
      </w:r>
      <w:r>
        <w:rPr>
          <w:sz w:val="20"/>
          <w:szCs w:val="20"/>
          <w:color w:val="auto"/>
        </w:rPr>
        <w:tab/>
      </w:r>
      <w:r>
        <w:rPr>
          <w:rFonts w:ascii="Times New Roman" w:cs="Times New Roman" w:eastAsia="Times New Roman" w:hAnsi="Times New Roman"/>
          <w:sz w:val="21"/>
          <w:szCs w:val="21"/>
          <w:color w:val="FF0000"/>
          <w:strike w:val="1"/>
        </w:rPr>
        <w:t>60</w:t>
      </w:r>
      <w:r>
        <w:rPr>
          <w:rFonts w:ascii="Times New Roman" w:cs="Times New Roman" w:eastAsia="Times New Roman" w:hAnsi="Times New Roman"/>
          <w:sz w:val="21"/>
          <w:szCs w:val="21"/>
          <w:u w:val="single" w:color="auto"/>
          <w:color w:val="0000FF"/>
          <w:strike w:val="1"/>
        </w:rPr>
        <w:t>61</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1.08</w:t>
        <w:tab/>
        <w:t>Interest Rates; SOFR Notification</w:t>
      </w:r>
      <w:r>
        <w:rPr>
          <w:sz w:val="20"/>
          <w:szCs w:val="20"/>
          <w:color w:val="auto"/>
        </w:rPr>
        <w:tab/>
      </w:r>
      <w:r>
        <w:rPr>
          <w:rFonts w:ascii="Times New Roman" w:cs="Times New Roman" w:eastAsia="Times New Roman" w:hAnsi="Times New Roman"/>
          <w:sz w:val="21"/>
          <w:szCs w:val="21"/>
          <w:color w:val="FF0000"/>
          <w:strike w:val="1"/>
        </w:rPr>
        <w:t>61</w:t>
      </w:r>
      <w:r>
        <w:rPr>
          <w:rFonts w:ascii="Times New Roman" w:cs="Times New Roman" w:eastAsia="Times New Roman" w:hAnsi="Times New Roman"/>
          <w:sz w:val="21"/>
          <w:szCs w:val="21"/>
          <w:u w:val="single" w:color="auto"/>
          <w:color w:val="0000FF"/>
          <w:strike w:val="1"/>
        </w:rPr>
        <w:t>62</w:t>
      </w:r>
    </w:p>
    <w:p>
      <w:pPr>
        <w:spacing w:after="0" w:line="4" w:lineRule="exact"/>
        <w:rPr>
          <w:sz w:val="20"/>
          <w:szCs w:val="20"/>
          <w:color w:val="auto"/>
        </w:rPr>
      </w:pPr>
    </w:p>
    <w:p>
      <w:pPr>
        <w:ind w:left="780"/>
        <w:spacing w:after="0"/>
        <w:tabs>
          <w:tab w:leader="none" w:pos="2060" w:val="left"/>
          <w:tab w:leader="dot" w:pos="8400" w:val="left"/>
        </w:tabs>
        <w:rPr>
          <w:sz w:val="20"/>
          <w:szCs w:val="20"/>
          <w:color w:val="auto"/>
        </w:rPr>
      </w:pPr>
      <w:r>
        <w:rPr>
          <w:rFonts w:ascii="Times New Roman" w:cs="Times New Roman" w:eastAsia="Times New Roman" w:hAnsi="Times New Roman"/>
          <w:sz w:val="22"/>
          <w:szCs w:val="22"/>
          <w:color w:val="0000FF"/>
        </w:rPr>
        <w:t>Section 1.09</w:t>
        <w:tab/>
        <w:t>Divisions</w:t>
      </w:r>
      <w:r>
        <w:rPr>
          <w:sz w:val="20"/>
          <w:szCs w:val="20"/>
          <w:color w:val="auto"/>
        </w:rPr>
        <w:tab/>
      </w:r>
      <w:r>
        <w:rPr>
          <w:rFonts w:ascii="Times New Roman" w:cs="Times New Roman" w:eastAsia="Times New Roman" w:hAnsi="Times New Roman"/>
          <w:sz w:val="21"/>
          <w:szCs w:val="21"/>
          <w:color w:val="FF0000"/>
          <w:strike w:val="1"/>
        </w:rPr>
        <w:t>62</w:t>
      </w:r>
      <w:r>
        <w:rPr>
          <w:rFonts w:ascii="Times New Roman" w:cs="Times New Roman" w:eastAsia="Times New Roman" w:hAnsi="Times New Roman"/>
          <w:sz w:val="21"/>
          <w:szCs w:val="21"/>
          <w:u w:val="single" w:color="auto"/>
          <w:color w:val="0000FF"/>
          <w:strike w:val="1"/>
        </w:rPr>
        <w:t>63</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1.10</w:t>
        <w:tab/>
        <w:t>Cashless Roll</w:t>
      </w:r>
      <w:r>
        <w:rPr>
          <w:sz w:val="20"/>
          <w:szCs w:val="20"/>
          <w:color w:val="auto"/>
        </w:rPr>
        <w:tab/>
      </w:r>
      <w:r>
        <w:rPr>
          <w:rFonts w:ascii="Times New Roman" w:cs="Times New Roman" w:eastAsia="Times New Roman" w:hAnsi="Times New Roman"/>
          <w:sz w:val="19"/>
          <w:szCs w:val="19"/>
          <w:color w:val="FF0000"/>
          <w:strike w:val="1"/>
        </w:rPr>
        <w:t>62</w:t>
      </w:r>
      <w:r>
        <w:rPr>
          <w:rFonts w:ascii="Times New Roman" w:cs="Times New Roman" w:eastAsia="Times New Roman" w:hAnsi="Times New Roman"/>
          <w:sz w:val="19"/>
          <w:szCs w:val="19"/>
          <w:u w:val="single" w:color="auto"/>
          <w:color w:val="0000FF"/>
          <w:strike w:val="1"/>
        </w:rPr>
        <w:t>63</w:t>
      </w:r>
    </w:p>
    <w:p>
      <w:pPr>
        <w:spacing w:after="0" w:line="2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0000FF"/>
        </w:rPr>
        <w:t>ARTICLE II</w:t>
      </w:r>
    </w:p>
    <w:p>
      <w:pPr>
        <w:spacing w:after="0" w:line="26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0000FF"/>
        </w:rPr>
        <w:t>THE COMMITMENTS AND CREDIT EXTENSIONS</w:t>
      </w:r>
    </w:p>
    <w:p>
      <w:pPr>
        <w:spacing w:after="0" w:line="224"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2.01</w:t>
        <w:tab/>
        <w:t>The Loans</w:t>
      </w:r>
      <w:r>
        <w:rPr>
          <w:sz w:val="20"/>
          <w:szCs w:val="20"/>
          <w:color w:val="auto"/>
        </w:rPr>
        <w:tab/>
      </w:r>
      <w:r>
        <w:rPr>
          <w:rFonts w:ascii="Times New Roman" w:cs="Times New Roman" w:eastAsia="Times New Roman" w:hAnsi="Times New Roman"/>
          <w:sz w:val="21"/>
          <w:szCs w:val="21"/>
          <w:color w:val="FF0000"/>
          <w:strike w:val="1"/>
        </w:rPr>
        <w:t>62</w:t>
      </w:r>
      <w:r>
        <w:rPr>
          <w:rFonts w:ascii="Times New Roman" w:cs="Times New Roman" w:eastAsia="Times New Roman" w:hAnsi="Times New Roman"/>
          <w:sz w:val="21"/>
          <w:szCs w:val="21"/>
          <w:u w:val="single" w:color="auto"/>
          <w:color w:val="0000FF"/>
          <w:strike w:val="1"/>
        </w:rPr>
        <w:t>64</w:t>
      </w:r>
    </w:p>
    <w:p>
      <w:pPr>
        <w:spacing w:after="0" w:line="28"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2.02</w:t>
        <w:tab/>
        <w:t>Borrowings, Conversions and Continuations of Loans</w:t>
      </w:r>
      <w:r>
        <w:rPr>
          <w:sz w:val="20"/>
          <w:szCs w:val="20"/>
          <w:color w:val="auto"/>
        </w:rPr>
        <w:tab/>
      </w:r>
      <w:r>
        <w:rPr>
          <w:rFonts w:ascii="Times New Roman" w:cs="Times New Roman" w:eastAsia="Times New Roman" w:hAnsi="Times New Roman"/>
          <w:sz w:val="21"/>
          <w:szCs w:val="21"/>
          <w:color w:val="FF0000"/>
          <w:strike w:val="1"/>
        </w:rPr>
        <w:t>63</w:t>
      </w:r>
      <w:r>
        <w:rPr>
          <w:rFonts w:ascii="Times New Roman" w:cs="Times New Roman" w:eastAsia="Times New Roman" w:hAnsi="Times New Roman"/>
          <w:sz w:val="21"/>
          <w:szCs w:val="21"/>
          <w:u w:val="single" w:color="auto"/>
          <w:color w:val="0000FF"/>
          <w:strike w:val="1"/>
        </w:rPr>
        <w:t>64</w:t>
      </w:r>
    </w:p>
    <w:p>
      <w:pPr>
        <w:spacing w:after="0" w:line="4" w:lineRule="exact"/>
        <w:rPr>
          <w:sz w:val="20"/>
          <w:szCs w:val="20"/>
          <w:color w:val="auto"/>
        </w:rPr>
      </w:pPr>
    </w:p>
    <w:p>
      <w:pPr>
        <w:ind w:left="760"/>
        <w:spacing w:after="0"/>
        <w:tabs>
          <w:tab w:leader="none" w:pos="2060" w:val="left"/>
          <w:tab w:leader="dot" w:pos="8400" w:val="left"/>
        </w:tabs>
        <w:rPr>
          <w:sz w:val="20"/>
          <w:szCs w:val="20"/>
          <w:color w:val="auto"/>
        </w:rPr>
      </w:pPr>
      <w:r>
        <w:rPr>
          <w:rFonts w:ascii="Times New Roman" w:cs="Times New Roman" w:eastAsia="Times New Roman" w:hAnsi="Times New Roman"/>
          <w:sz w:val="22"/>
          <w:szCs w:val="22"/>
          <w:color w:val="0000FF"/>
        </w:rPr>
        <w:t>Section 2.03</w:t>
        <w:tab/>
        <w:t>Letters of Credit</w:t>
      </w:r>
      <w:r>
        <w:rPr>
          <w:sz w:val="20"/>
          <w:szCs w:val="20"/>
          <w:color w:val="auto"/>
        </w:rPr>
        <w:tab/>
      </w:r>
      <w:r>
        <w:rPr>
          <w:rFonts w:ascii="Times New Roman" w:cs="Times New Roman" w:eastAsia="Times New Roman" w:hAnsi="Times New Roman"/>
          <w:sz w:val="21"/>
          <w:szCs w:val="21"/>
          <w:color w:val="FF0000"/>
          <w:strike w:val="1"/>
        </w:rPr>
        <w:t>65</w:t>
      </w:r>
      <w:r>
        <w:rPr>
          <w:rFonts w:ascii="Times New Roman" w:cs="Times New Roman" w:eastAsia="Times New Roman" w:hAnsi="Times New Roman"/>
          <w:sz w:val="21"/>
          <w:szCs w:val="21"/>
          <w:u w:val="single" w:color="auto"/>
          <w:color w:val="0000FF"/>
          <w:strike w:val="1"/>
        </w:rPr>
        <w:t>66</w:t>
      </w:r>
    </w:p>
    <w:p>
      <w:pPr>
        <w:spacing w:after="0" w:line="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2.04</w:t>
        <w:tab/>
        <w:t>Prepayments</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75</w:t>
      </w:r>
    </w:p>
    <w:p>
      <w:pPr>
        <w:spacing w:after="0" w:line="15"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2.05</w:t>
        <w:tab/>
        <w:t>Termination or Reduction of Commitments</w:t>
      </w:r>
      <w:r>
        <w:rPr>
          <w:sz w:val="20"/>
          <w:szCs w:val="20"/>
          <w:color w:val="auto"/>
        </w:rPr>
        <w:tab/>
      </w:r>
      <w:r>
        <w:rPr>
          <w:rFonts w:ascii="Times New Roman" w:cs="Times New Roman" w:eastAsia="Times New Roman" w:hAnsi="Times New Roman"/>
          <w:sz w:val="21"/>
          <w:szCs w:val="21"/>
          <w:color w:val="FF0000"/>
          <w:strike w:val="1"/>
        </w:rPr>
        <w:t>76</w:t>
      </w:r>
      <w:r>
        <w:rPr>
          <w:rFonts w:ascii="Times New Roman" w:cs="Times New Roman" w:eastAsia="Times New Roman" w:hAnsi="Times New Roman"/>
          <w:sz w:val="21"/>
          <w:szCs w:val="21"/>
          <w:u w:val="single" w:color="auto"/>
          <w:color w:val="0000FF"/>
          <w:strike w:val="1"/>
        </w:rPr>
        <w:t>78</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2.06</w:t>
        <w:tab/>
        <w:t>Repayment of Loans</w:t>
      </w:r>
      <w:r>
        <w:rPr>
          <w:sz w:val="20"/>
          <w:szCs w:val="20"/>
          <w:color w:val="auto"/>
        </w:rPr>
        <w:tab/>
      </w:r>
      <w:r>
        <w:rPr>
          <w:rFonts w:ascii="Times New Roman" w:cs="Times New Roman" w:eastAsia="Times New Roman" w:hAnsi="Times New Roman"/>
          <w:sz w:val="21"/>
          <w:szCs w:val="21"/>
          <w:color w:val="FF0000"/>
          <w:strike w:val="1"/>
        </w:rPr>
        <w:t>77</w:t>
      </w:r>
      <w:r>
        <w:rPr>
          <w:rFonts w:ascii="Times New Roman" w:cs="Times New Roman" w:eastAsia="Times New Roman" w:hAnsi="Times New Roman"/>
          <w:sz w:val="21"/>
          <w:szCs w:val="21"/>
          <w:u w:val="single" w:color="auto"/>
          <w:color w:val="0000FF"/>
          <w:strike w:val="1"/>
        </w:rPr>
        <w:t>79</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2.07</w:t>
        <w:tab/>
        <w:t>Interest</w:t>
      </w:r>
      <w:r>
        <w:rPr>
          <w:sz w:val="20"/>
          <w:szCs w:val="20"/>
          <w:color w:val="auto"/>
        </w:rPr>
        <w:tab/>
      </w:r>
      <w:r>
        <w:rPr>
          <w:rFonts w:ascii="Times New Roman" w:cs="Times New Roman" w:eastAsia="Times New Roman" w:hAnsi="Times New Roman"/>
          <w:sz w:val="19"/>
          <w:szCs w:val="19"/>
          <w:color w:val="FF0000"/>
          <w:strike w:val="1"/>
        </w:rPr>
        <w:t>78</w:t>
      </w:r>
      <w:r>
        <w:rPr>
          <w:rFonts w:ascii="Times New Roman" w:cs="Times New Roman" w:eastAsia="Times New Roman" w:hAnsi="Times New Roman"/>
          <w:sz w:val="19"/>
          <w:szCs w:val="19"/>
          <w:u w:val="single" w:color="auto"/>
          <w:color w:val="0000FF"/>
          <w:strike w:val="1"/>
        </w:rPr>
        <w:t>82</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2.08</w:t>
        <w:tab/>
        <w:t>Fees</w:t>
      </w:r>
      <w:r>
        <w:rPr>
          <w:sz w:val="20"/>
          <w:szCs w:val="20"/>
          <w:color w:val="auto"/>
        </w:rPr>
        <w:tab/>
      </w:r>
      <w:r>
        <w:rPr>
          <w:rFonts w:ascii="Times New Roman" w:cs="Times New Roman" w:eastAsia="Times New Roman" w:hAnsi="Times New Roman"/>
          <w:sz w:val="21"/>
          <w:szCs w:val="21"/>
          <w:color w:val="FF0000"/>
          <w:strike w:val="1"/>
        </w:rPr>
        <w:t>79</w:t>
      </w:r>
      <w:r>
        <w:rPr>
          <w:rFonts w:ascii="Times New Roman" w:cs="Times New Roman" w:eastAsia="Times New Roman" w:hAnsi="Times New Roman"/>
          <w:sz w:val="21"/>
          <w:szCs w:val="21"/>
          <w:u w:val="single" w:color="auto"/>
          <w:color w:val="0000FF"/>
          <w:strike w:val="1"/>
        </w:rPr>
        <w:t>83</w:t>
      </w:r>
    </w:p>
    <w:p>
      <w:pPr>
        <w:spacing w:after="0" w:line="5"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2.09</w:t>
        <w:tab/>
        <w:t>Computation of Interest and Fees</w:t>
      </w:r>
      <w:r>
        <w:rPr>
          <w:sz w:val="20"/>
          <w:szCs w:val="20"/>
          <w:color w:val="auto"/>
        </w:rPr>
        <w:tab/>
      </w:r>
      <w:r>
        <w:rPr>
          <w:rFonts w:ascii="Times New Roman" w:cs="Times New Roman" w:eastAsia="Times New Roman" w:hAnsi="Times New Roman"/>
          <w:sz w:val="21"/>
          <w:szCs w:val="21"/>
          <w:color w:val="FF0000"/>
          <w:strike w:val="1"/>
        </w:rPr>
        <w:t>80</w:t>
      </w:r>
      <w:r>
        <w:rPr>
          <w:rFonts w:ascii="Times New Roman" w:cs="Times New Roman" w:eastAsia="Times New Roman" w:hAnsi="Times New Roman"/>
          <w:sz w:val="21"/>
          <w:szCs w:val="21"/>
          <w:u w:val="single" w:color="auto"/>
          <w:color w:val="0000FF"/>
          <w:strike w:val="1"/>
        </w:rPr>
        <w:t>84</w:t>
      </w:r>
    </w:p>
    <w:p>
      <w:pPr>
        <w:spacing w:after="0" w:line="1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2.10</w:t>
        <w:tab/>
        <w:t>Evidence of Debt</w:t>
      </w:r>
      <w:r>
        <w:rPr>
          <w:sz w:val="20"/>
          <w:szCs w:val="20"/>
          <w:color w:val="auto"/>
        </w:rPr>
        <w:tab/>
      </w:r>
      <w:r>
        <w:rPr>
          <w:rFonts w:ascii="Times New Roman" w:cs="Times New Roman" w:eastAsia="Times New Roman" w:hAnsi="Times New Roman"/>
          <w:sz w:val="21"/>
          <w:szCs w:val="21"/>
          <w:color w:val="FF0000"/>
          <w:strike w:val="1"/>
        </w:rPr>
        <w:t>80</w:t>
      </w:r>
      <w:r>
        <w:rPr>
          <w:rFonts w:ascii="Times New Roman" w:cs="Times New Roman" w:eastAsia="Times New Roman" w:hAnsi="Times New Roman"/>
          <w:sz w:val="21"/>
          <w:szCs w:val="21"/>
          <w:u w:val="single" w:color="auto"/>
          <w:color w:val="0000FF"/>
          <w:strike w:val="1"/>
        </w:rPr>
        <w:t>84</w:t>
      </w:r>
    </w:p>
    <w:p>
      <w:pPr>
        <w:spacing w:after="0" w:line="4" w:lineRule="exact"/>
        <w:rPr>
          <w:sz w:val="20"/>
          <w:szCs w:val="20"/>
          <w:color w:val="auto"/>
        </w:rPr>
      </w:pPr>
    </w:p>
    <w:p>
      <w:pPr>
        <w:ind w:left="780"/>
        <w:spacing w:after="0"/>
        <w:tabs>
          <w:tab w:leader="none" w:pos="2080" w:val="left"/>
          <w:tab w:leader="dot" w:pos="8380" w:val="left"/>
        </w:tabs>
        <w:rPr>
          <w:sz w:val="20"/>
          <w:szCs w:val="20"/>
          <w:color w:val="auto"/>
        </w:rPr>
      </w:pPr>
      <w:r>
        <w:rPr>
          <w:rFonts w:ascii="Times New Roman" w:cs="Times New Roman" w:eastAsia="Times New Roman" w:hAnsi="Times New Roman"/>
          <w:sz w:val="22"/>
          <w:szCs w:val="22"/>
          <w:color w:val="0000FF"/>
        </w:rPr>
        <w:t>Section 2.11</w:t>
        <w:tab/>
        <w:t>Payments Generally; Administrative Agent’s Clawback</w:t>
      </w:r>
      <w:r>
        <w:rPr>
          <w:sz w:val="20"/>
          <w:szCs w:val="20"/>
          <w:color w:val="auto"/>
        </w:rPr>
        <w:tab/>
      </w:r>
      <w:r>
        <w:rPr>
          <w:rFonts w:ascii="Times New Roman" w:cs="Times New Roman" w:eastAsia="Times New Roman" w:hAnsi="Times New Roman"/>
          <w:sz w:val="21"/>
          <w:szCs w:val="21"/>
          <w:color w:val="FF0000"/>
          <w:strike w:val="1"/>
        </w:rPr>
        <w:t>81</w:t>
      </w:r>
      <w:r>
        <w:rPr>
          <w:rFonts w:ascii="Times New Roman" w:cs="Times New Roman" w:eastAsia="Times New Roman" w:hAnsi="Times New Roman"/>
          <w:sz w:val="21"/>
          <w:szCs w:val="21"/>
          <w:u w:val="single" w:color="auto"/>
          <w:color w:val="0000FF"/>
          <w:strike w:val="1"/>
        </w:rPr>
        <w:t>85</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2.12</w:t>
        <w:tab/>
        <w:t>Sharing of Payments by Lenders</w:t>
      </w:r>
      <w:r>
        <w:rPr>
          <w:sz w:val="20"/>
          <w:szCs w:val="20"/>
          <w:color w:val="auto"/>
        </w:rPr>
        <w:tab/>
      </w:r>
      <w:r>
        <w:rPr>
          <w:rFonts w:ascii="Times New Roman" w:cs="Times New Roman" w:eastAsia="Times New Roman" w:hAnsi="Times New Roman"/>
          <w:sz w:val="21"/>
          <w:szCs w:val="21"/>
          <w:color w:val="FF0000"/>
          <w:strike w:val="1"/>
        </w:rPr>
        <w:t>83</w:t>
      </w:r>
      <w:r>
        <w:rPr>
          <w:rFonts w:ascii="Times New Roman" w:cs="Times New Roman" w:eastAsia="Times New Roman" w:hAnsi="Times New Roman"/>
          <w:sz w:val="21"/>
          <w:szCs w:val="21"/>
          <w:u w:val="single" w:color="auto"/>
          <w:color w:val="0000FF"/>
          <w:strike w:val="1"/>
        </w:rPr>
        <w:t>87</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2.13</w:t>
        <w:tab/>
        <w:t>Increase in Commitments</w:t>
      </w:r>
      <w:r>
        <w:rPr>
          <w:sz w:val="20"/>
          <w:szCs w:val="20"/>
          <w:color w:val="auto"/>
        </w:rPr>
        <w:tab/>
      </w:r>
      <w:r>
        <w:rPr>
          <w:rFonts w:ascii="Times New Roman" w:cs="Times New Roman" w:eastAsia="Times New Roman" w:hAnsi="Times New Roman"/>
          <w:sz w:val="21"/>
          <w:szCs w:val="21"/>
          <w:color w:val="FF0000"/>
          <w:strike w:val="1"/>
        </w:rPr>
        <w:t>84</w:t>
      </w:r>
      <w:r>
        <w:rPr>
          <w:rFonts w:ascii="Times New Roman" w:cs="Times New Roman" w:eastAsia="Times New Roman" w:hAnsi="Times New Roman"/>
          <w:sz w:val="21"/>
          <w:szCs w:val="21"/>
          <w:u w:val="single" w:color="auto"/>
          <w:color w:val="0000FF"/>
          <w:strike w:val="1"/>
        </w:rPr>
        <w:t>87</w:t>
      </w:r>
    </w:p>
    <w:p>
      <w:pPr>
        <w:spacing w:after="0" w:line="4" w:lineRule="exact"/>
        <w:rPr>
          <w:sz w:val="20"/>
          <w:szCs w:val="20"/>
          <w:color w:val="auto"/>
        </w:rPr>
      </w:pPr>
    </w:p>
    <w:p>
      <w:pPr>
        <w:ind w:left="760"/>
        <w:spacing w:after="0"/>
        <w:tabs>
          <w:tab w:leader="none" w:pos="2060" w:val="left"/>
          <w:tab w:leader="dot" w:pos="8400" w:val="left"/>
        </w:tabs>
        <w:rPr>
          <w:sz w:val="20"/>
          <w:szCs w:val="20"/>
          <w:color w:val="auto"/>
        </w:rPr>
      </w:pPr>
      <w:r>
        <w:rPr>
          <w:rFonts w:ascii="Times New Roman" w:cs="Times New Roman" w:eastAsia="Times New Roman" w:hAnsi="Times New Roman"/>
          <w:sz w:val="22"/>
          <w:szCs w:val="22"/>
          <w:color w:val="0000FF"/>
        </w:rPr>
        <w:t>Section 2.14</w:t>
        <w:tab/>
        <w:t>Incremental Term Facility</w:t>
      </w:r>
      <w:r>
        <w:rPr>
          <w:sz w:val="20"/>
          <w:szCs w:val="20"/>
          <w:color w:val="auto"/>
        </w:rPr>
        <w:tab/>
      </w:r>
      <w:r>
        <w:rPr>
          <w:rFonts w:ascii="Times New Roman" w:cs="Times New Roman" w:eastAsia="Times New Roman" w:hAnsi="Times New Roman"/>
          <w:sz w:val="21"/>
          <w:szCs w:val="21"/>
          <w:color w:val="FF0000"/>
          <w:strike w:val="1"/>
        </w:rPr>
        <w:t>86</w:t>
      </w:r>
      <w:r>
        <w:rPr>
          <w:rFonts w:ascii="Times New Roman" w:cs="Times New Roman" w:eastAsia="Times New Roman" w:hAnsi="Times New Roman"/>
          <w:sz w:val="21"/>
          <w:szCs w:val="21"/>
          <w:u w:val="single" w:color="auto"/>
          <w:color w:val="0000FF"/>
          <w:strike w:val="1"/>
        </w:rPr>
        <w:t>89</w:t>
      </w:r>
    </w:p>
    <w:p>
      <w:pPr>
        <w:spacing w:after="0" w:line="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2.15</w:t>
        <w:tab/>
        <w:t>Swingline Loans</w:t>
      </w:r>
      <w:r>
        <w:rPr>
          <w:sz w:val="20"/>
          <w:szCs w:val="20"/>
          <w:color w:val="auto"/>
        </w:rPr>
        <w:tab/>
      </w:r>
      <w:r>
        <w:rPr>
          <w:rFonts w:ascii="Times New Roman" w:cs="Times New Roman" w:eastAsia="Times New Roman" w:hAnsi="Times New Roman"/>
          <w:sz w:val="21"/>
          <w:szCs w:val="21"/>
          <w:color w:val="FF0000"/>
          <w:strike w:val="1"/>
        </w:rPr>
        <w:t>88</w:t>
      </w:r>
      <w:r>
        <w:rPr>
          <w:rFonts w:ascii="Times New Roman" w:cs="Times New Roman" w:eastAsia="Times New Roman" w:hAnsi="Times New Roman"/>
          <w:sz w:val="21"/>
          <w:szCs w:val="21"/>
          <w:u w:val="single" w:color="auto"/>
          <w:color w:val="0000FF"/>
          <w:strike w:val="1"/>
        </w:rPr>
        <w:t>92</w:t>
      </w:r>
    </w:p>
    <w:p>
      <w:pPr>
        <w:spacing w:after="0" w:line="15" w:lineRule="exact"/>
        <w:rPr>
          <w:sz w:val="20"/>
          <w:szCs w:val="20"/>
          <w:color w:val="auto"/>
        </w:rPr>
      </w:pPr>
    </w:p>
    <w:p>
      <w:pPr>
        <w:ind w:left="760"/>
        <w:spacing w:after="0"/>
        <w:tabs>
          <w:tab w:leader="none" w:pos="2060" w:val="left"/>
          <w:tab w:leader="dot" w:pos="8420" w:val="left"/>
        </w:tabs>
        <w:rPr>
          <w:sz w:val="20"/>
          <w:szCs w:val="20"/>
          <w:color w:val="auto"/>
        </w:rPr>
      </w:pPr>
      <w:r>
        <w:rPr>
          <w:rFonts w:ascii="Times New Roman" w:cs="Times New Roman" w:eastAsia="Times New Roman" w:hAnsi="Times New Roman"/>
          <w:sz w:val="22"/>
          <w:szCs w:val="22"/>
          <w:color w:val="0000FF"/>
        </w:rPr>
        <w:t>Section 2.16</w:t>
        <w:tab/>
        <w:t>Cash Collateral; Defaulting Lenders</w:t>
      </w:r>
      <w:r>
        <w:rPr>
          <w:sz w:val="20"/>
          <w:szCs w:val="20"/>
          <w:color w:val="auto"/>
        </w:rPr>
        <w:tab/>
      </w:r>
      <w:r>
        <w:rPr>
          <w:rFonts w:ascii="Times New Roman" w:cs="Times New Roman" w:eastAsia="Times New Roman" w:hAnsi="Times New Roman"/>
          <w:sz w:val="21"/>
          <w:szCs w:val="21"/>
          <w:color w:val="FF0000"/>
          <w:strike w:val="1"/>
        </w:rPr>
        <w:t>91</w:t>
      </w:r>
      <w:r>
        <w:rPr>
          <w:rFonts w:ascii="Times New Roman" w:cs="Times New Roman" w:eastAsia="Times New Roman" w:hAnsi="Times New Roman"/>
          <w:sz w:val="21"/>
          <w:szCs w:val="21"/>
          <w:u w:val="single" w:color="auto"/>
          <w:color w:val="0000FF"/>
          <w:strike w:val="1"/>
        </w:rPr>
        <w:t>95</w:t>
      </w:r>
    </w:p>
    <w:p>
      <w:pPr>
        <w:spacing w:after="0" w:line="4" w:lineRule="exact"/>
        <w:rPr>
          <w:sz w:val="20"/>
          <w:szCs w:val="20"/>
          <w:color w:val="auto"/>
        </w:rPr>
      </w:pPr>
    </w:p>
    <w:p>
      <w:pPr>
        <w:ind w:left="780"/>
        <w:spacing w:after="0"/>
        <w:tabs>
          <w:tab w:leader="none" w:pos="2080" w:val="left"/>
          <w:tab w:leader="dot" w:pos="8400" w:val="left"/>
        </w:tabs>
        <w:rPr>
          <w:sz w:val="20"/>
          <w:szCs w:val="20"/>
          <w:color w:val="auto"/>
        </w:rPr>
      </w:pPr>
      <w:r>
        <w:rPr>
          <w:rFonts w:ascii="Times New Roman" w:cs="Times New Roman" w:eastAsia="Times New Roman" w:hAnsi="Times New Roman"/>
          <w:sz w:val="22"/>
          <w:szCs w:val="22"/>
          <w:color w:val="0000FF"/>
        </w:rPr>
        <w:t>Section 2.17</w:t>
        <w:tab/>
        <w:t>Borrower Agent</w:t>
      </w:r>
      <w:r>
        <w:rPr>
          <w:sz w:val="20"/>
          <w:szCs w:val="20"/>
          <w:color w:val="auto"/>
        </w:rPr>
        <w:tab/>
      </w:r>
      <w:r>
        <w:rPr>
          <w:rFonts w:ascii="Times New Roman" w:cs="Times New Roman" w:eastAsia="Times New Roman" w:hAnsi="Times New Roman"/>
          <w:sz w:val="21"/>
          <w:szCs w:val="21"/>
          <w:color w:val="FF0000"/>
          <w:strike w:val="1"/>
        </w:rPr>
        <w:t>94</w:t>
      </w:r>
      <w:r>
        <w:rPr>
          <w:rFonts w:ascii="Times New Roman" w:cs="Times New Roman" w:eastAsia="Times New Roman" w:hAnsi="Times New Roman"/>
          <w:sz w:val="21"/>
          <w:szCs w:val="21"/>
          <w:u w:val="single" w:color="auto"/>
          <w:color w:val="0000FF"/>
          <w:strike w:val="1"/>
        </w:rPr>
        <w:t>98</w:t>
      </w:r>
    </w:p>
    <w:p>
      <w:pPr>
        <w:spacing w:after="0" w:line="4" w:lineRule="exact"/>
        <w:rPr>
          <w:sz w:val="20"/>
          <w:szCs w:val="20"/>
          <w:color w:val="auto"/>
        </w:rPr>
      </w:pPr>
    </w:p>
    <w:p>
      <w:pPr>
        <w:ind w:left="760"/>
        <w:spacing w:after="0"/>
        <w:tabs>
          <w:tab w:leader="none" w:pos="2060" w:val="left"/>
          <w:tab w:leader="dot" w:pos="8400" w:val="left"/>
        </w:tabs>
        <w:rPr>
          <w:sz w:val="20"/>
          <w:szCs w:val="20"/>
          <w:color w:val="auto"/>
        </w:rPr>
      </w:pPr>
      <w:r>
        <w:rPr>
          <w:rFonts w:ascii="Times New Roman" w:cs="Times New Roman" w:eastAsia="Times New Roman" w:hAnsi="Times New Roman"/>
          <w:sz w:val="22"/>
          <w:szCs w:val="22"/>
          <w:color w:val="0000FF"/>
        </w:rPr>
        <w:t>Section 2.18</w:t>
        <w:tab/>
        <w:t>Extension of Term Loans; Extension of Revolving Credit Loans</w:t>
      </w:r>
      <w:r>
        <w:rPr>
          <w:sz w:val="20"/>
          <w:szCs w:val="20"/>
          <w:color w:val="auto"/>
        </w:rPr>
        <w:tab/>
      </w:r>
      <w:r>
        <w:rPr>
          <w:rFonts w:ascii="Times New Roman" w:cs="Times New Roman" w:eastAsia="Times New Roman" w:hAnsi="Times New Roman"/>
          <w:sz w:val="21"/>
          <w:szCs w:val="21"/>
          <w:color w:val="FF0000"/>
          <w:strike w:val="1"/>
        </w:rPr>
        <w:t>94</w:t>
      </w:r>
      <w:r>
        <w:rPr>
          <w:rFonts w:ascii="Times New Roman" w:cs="Times New Roman" w:eastAsia="Times New Roman" w:hAnsi="Times New Roman"/>
          <w:sz w:val="21"/>
          <w:szCs w:val="21"/>
          <w:u w:val="single" w:color="auto"/>
          <w:color w:val="0000FF"/>
          <w:strike w:val="1"/>
        </w:rPr>
        <w:t>98</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000FF"/>
        </w:rPr>
        <w:t>ARTICLE III</w:t>
      </w:r>
    </w:p>
    <w:p>
      <w:pPr>
        <w:spacing w:after="0" w:line="27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TAXES, YIELD PROTECTION AND ILLEGALITY</w:t>
      </w:r>
    </w:p>
    <w:p>
      <w:pPr>
        <w:spacing w:after="0" w:line="224" w:lineRule="exact"/>
        <w:rPr>
          <w:sz w:val="20"/>
          <w:szCs w:val="20"/>
          <w:color w:val="auto"/>
        </w:rPr>
      </w:pPr>
    </w:p>
    <w:p>
      <w:pPr>
        <w:ind w:left="780"/>
        <w:spacing w:after="0"/>
        <w:tabs>
          <w:tab w:leader="none" w:pos="2080" w:val="left"/>
          <w:tab w:leader="dot" w:pos="8300" w:val="left"/>
        </w:tabs>
        <w:rPr>
          <w:sz w:val="20"/>
          <w:szCs w:val="20"/>
          <w:color w:val="auto"/>
        </w:rPr>
      </w:pPr>
      <w:r>
        <w:rPr>
          <w:rFonts w:ascii="Times New Roman" w:cs="Times New Roman" w:eastAsia="Times New Roman" w:hAnsi="Times New Roman"/>
          <w:sz w:val="22"/>
          <w:szCs w:val="22"/>
          <w:color w:val="0000FF"/>
        </w:rPr>
        <w:t>Section 3.01</w:t>
        <w:tab/>
        <w:t>Taxes</w:t>
      </w:r>
      <w:r>
        <w:rPr>
          <w:sz w:val="20"/>
          <w:szCs w:val="20"/>
          <w:color w:val="auto"/>
        </w:rPr>
        <w:tab/>
      </w:r>
      <w:r>
        <w:rPr>
          <w:rFonts w:ascii="Times New Roman" w:cs="Times New Roman" w:eastAsia="Times New Roman" w:hAnsi="Times New Roman"/>
          <w:sz w:val="21"/>
          <w:szCs w:val="21"/>
          <w:color w:val="FF0000"/>
          <w:strike w:val="1"/>
        </w:rPr>
        <w:t>99</w:t>
      </w:r>
      <w:r>
        <w:rPr>
          <w:rFonts w:ascii="Times New Roman" w:cs="Times New Roman" w:eastAsia="Times New Roman" w:hAnsi="Times New Roman"/>
          <w:sz w:val="21"/>
          <w:szCs w:val="21"/>
          <w:u w:val="single" w:color="auto"/>
          <w:color w:val="0000FF"/>
          <w:strike w:val="1"/>
        </w:rPr>
        <w:t>103</w:t>
      </w:r>
    </w:p>
    <w:p>
      <w:pPr>
        <w:spacing w:after="0" w:line="28"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3.02</w:t>
        <w:tab/>
        <w:t>Illegality</w:t>
      </w:r>
      <w:r>
        <w:rPr>
          <w:sz w:val="20"/>
          <w:szCs w:val="20"/>
          <w:color w:val="auto"/>
        </w:rPr>
        <w:tab/>
      </w:r>
      <w:r>
        <w:rPr>
          <w:rFonts w:ascii="Times New Roman" w:cs="Times New Roman" w:eastAsia="Times New Roman" w:hAnsi="Times New Roman"/>
          <w:sz w:val="21"/>
          <w:szCs w:val="21"/>
          <w:color w:val="FF0000"/>
          <w:strike w:val="1"/>
        </w:rPr>
        <w:t>102</w:t>
      </w:r>
      <w:r>
        <w:rPr>
          <w:rFonts w:ascii="Times New Roman" w:cs="Times New Roman" w:eastAsia="Times New Roman" w:hAnsi="Times New Roman"/>
          <w:sz w:val="21"/>
          <w:szCs w:val="21"/>
          <w:u w:val="single" w:color="auto"/>
          <w:color w:val="0000FF"/>
          <w:strike w:val="1"/>
        </w:rPr>
        <w:t>106</w:t>
      </w:r>
    </w:p>
    <w:p>
      <w:pPr>
        <w:sectPr>
          <w:pgSz w:w="11900" w:h="16838" w:orient="portrait"/>
          <w:cols w:equalWidth="0" w:num="1">
            <w:col w:w="11240"/>
          </w:cols>
          <w:pgMar w:left="320" w:top="1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175" w:right="339" w:bottom="1440" w:gutter="0" w:footer="0" w:header="0"/>
          <w:type w:val="continuous"/>
        </w:sectPr>
      </w:pPr>
    </w:p>
    <w:bookmarkStart w:id="25" w:name="page26"/>
    <w:bookmarkEnd w:id="25"/>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3.03</w:t>
        <w:tab/>
        <w:t>Alternate Rate of Interest</w:t>
      </w:r>
      <w:r>
        <w:rPr>
          <w:sz w:val="20"/>
          <w:szCs w:val="20"/>
          <w:color w:val="auto"/>
        </w:rPr>
        <w:tab/>
      </w:r>
      <w:r>
        <w:rPr>
          <w:rFonts w:ascii="Times New Roman" w:cs="Times New Roman" w:eastAsia="Times New Roman" w:hAnsi="Times New Roman"/>
          <w:sz w:val="21"/>
          <w:szCs w:val="21"/>
          <w:color w:val="FF0000"/>
          <w:strike w:val="1"/>
        </w:rPr>
        <w:t>102</w:t>
      </w:r>
      <w:r>
        <w:rPr>
          <w:rFonts w:ascii="Times New Roman" w:cs="Times New Roman" w:eastAsia="Times New Roman" w:hAnsi="Times New Roman"/>
          <w:sz w:val="21"/>
          <w:szCs w:val="21"/>
          <w:u w:val="single" w:color="auto"/>
          <w:color w:val="0000FF"/>
          <w:strike w:val="1"/>
        </w:rPr>
        <w:t>107</w:t>
      </w:r>
    </w:p>
    <w:p>
      <w:pPr>
        <w:spacing w:after="0" w:line="28"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3.04</w:t>
        <w:tab/>
        <w:t>Increased Costs</w:t>
      </w:r>
      <w:r>
        <w:rPr>
          <w:sz w:val="20"/>
          <w:szCs w:val="20"/>
          <w:color w:val="auto"/>
        </w:rPr>
        <w:tab/>
      </w:r>
      <w:r>
        <w:rPr>
          <w:rFonts w:ascii="Times New Roman" w:cs="Times New Roman" w:eastAsia="Times New Roman" w:hAnsi="Times New Roman"/>
          <w:sz w:val="21"/>
          <w:szCs w:val="21"/>
          <w:color w:val="FF0000"/>
          <w:strike w:val="1"/>
        </w:rPr>
        <w:t>105</w:t>
      </w:r>
      <w:r>
        <w:rPr>
          <w:rFonts w:ascii="Times New Roman" w:cs="Times New Roman" w:eastAsia="Times New Roman" w:hAnsi="Times New Roman"/>
          <w:sz w:val="21"/>
          <w:szCs w:val="21"/>
          <w:u w:val="single" w:color="auto"/>
          <w:color w:val="0000FF"/>
          <w:strike w:val="1"/>
        </w:rPr>
        <w:t>109</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3.05</w:t>
        <w:tab/>
        <w:t>Compensation for Losses</w:t>
      </w:r>
      <w:r>
        <w:rPr>
          <w:sz w:val="20"/>
          <w:szCs w:val="20"/>
          <w:color w:val="auto"/>
        </w:rPr>
        <w:tab/>
      </w:r>
      <w:r>
        <w:rPr>
          <w:rFonts w:ascii="Times New Roman" w:cs="Times New Roman" w:eastAsia="Times New Roman" w:hAnsi="Times New Roman"/>
          <w:sz w:val="21"/>
          <w:szCs w:val="21"/>
          <w:color w:val="FF0000"/>
          <w:strike w:val="1"/>
        </w:rPr>
        <w:t>106</w:t>
      </w:r>
      <w:r>
        <w:rPr>
          <w:rFonts w:ascii="Times New Roman" w:cs="Times New Roman" w:eastAsia="Times New Roman" w:hAnsi="Times New Roman"/>
          <w:sz w:val="21"/>
          <w:szCs w:val="21"/>
          <w:u w:val="single" w:color="auto"/>
          <w:color w:val="0000FF"/>
          <w:strike w:val="1"/>
        </w:rPr>
        <w:t>111</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3.06</w:t>
        <w:tab/>
        <w:t>Mitigation Obligations; Replacement of Lenders</w:t>
      </w:r>
      <w:r>
        <w:rPr>
          <w:sz w:val="20"/>
          <w:szCs w:val="20"/>
          <w:color w:val="auto"/>
        </w:rPr>
        <w:tab/>
      </w:r>
      <w:r>
        <w:rPr>
          <w:rFonts w:ascii="Times New Roman" w:cs="Times New Roman" w:eastAsia="Times New Roman" w:hAnsi="Times New Roman"/>
          <w:sz w:val="21"/>
          <w:szCs w:val="21"/>
          <w:color w:val="FF0000"/>
          <w:strike w:val="1"/>
        </w:rPr>
        <w:t>107</w:t>
      </w:r>
      <w:r>
        <w:rPr>
          <w:rFonts w:ascii="Times New Roman" w:cs="Times New Roman" w:eastAsia="Times New Roman" w:hAnsi="Times New Roman"/>
          <w:sz w:val="21"/>
          <w:szCs w:val="21"/>
          <w:u w:val="single" w:color="auto"/>
          <w:color w:val="0000FF"/>
          <w:strike w:val="1"/>
        </w:rPr>
        <w:t>111</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3.07</w:t>
        <w:tab/>
        <w:t>Survival</w:t>
      </w:r>
      <w:r>
        <w:rPr>
          <w:sz w:val="20"/>
          <w:szCs w:val="20"/>
          <w:color w:val="auto"/>
        </w:rPr>
        <w:tab/>
      </w:r>
      <w:r>
        <w:rPr>
          <w:rFonts w:ascii="Times New Roman" w:cs="Times New Roman" w:eastAsia="Times New Roman" w:hAnsi="Times New Roman"/>
          <w:sz w:val="21"/>
          <w:szCs w:val="21"/>
          <w:color w:val="FF0000"/>
          <w:strike w:val="1"/>
        </w:rPr>
        <w:t>107</w:t>
      </w:r>
      <w:r>
        <w:rPr>
          <w:rFonts w:ascii="Times New Roman" w:cs="Times New Roman" w:eastAsia="Times New Roman" w:hAnsi="Times New Roman"/>
          <w:sz w:val="21"/>
          <w:szCs w:val="21"/>
          <w:u w:val="single" w:color="auto"/>
          <w:color w:val="0000FF"/>
          <w:strike w:val="1"/>
        </w:rPr>
        <w:t>112</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000FF"/>
        </w:rPr>
        <w:t>ARTICLE IV</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0000FF"/>
        </w:rPr>
        <w:t>GUARANTY</w:t>
      </w:r>
    </w:p>
    <w:p>
      <w:pPr>
        <w:spacing w:after="0" w:line="22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4.01</w:t>
        <w:tab/>
        <w:t>Guaranty</w:t>
      </w:r>
      <w:r>
        <w:rPr>
          <w:sz w:val="20"/>
          <w:szCs w:val="20"/>
          <w:color w:val="auto"/>
        </w:rPr>
        <w:tab/>
      </w:r>
      <w:r>
        <w:rPr>
          <w:rFonts w:ascii="Times New Roman" w:cs="Times New Roman" w:eastAsia="Times New Roman" w:hAnsi="Times New Roman"/>
          <w:sz w:val="21"/>
          <w:szCs w:val="21"/>
          <w:color w:val="FF0000"/>
          <w:strike w:val="1"/>
        </w:rPr>
        <w:t>108</w:t>
      </w:r>
      <w:r>
        <w:rPr>
          <w:rFonts w:ascii="Times New Roman" w:cs="Times New Roman" w:eastAsia="Times New Roman" w:hAnsi="Times New Roman"/>
          <w:sz w:val="21"/>
          <w:szCs w:val="21"/>
          <w:u w:val="single" w:color="auto"/>
          <w:color w:val="0000FF"/>
          <w:strike w:val="1"/>
        </w:rPr>
        <w:t>112</w:t>
      </w:r>
    </w:p>
    <w:p>
      <w:pPr>
        <w:spacing w:after="0" w:line="29"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4.02</w:t>
        <w:tab/>
        <w:t>Rights of Lenders</w:t>
      </w:r>
      <w:r>
        <w:rPr>
          <w:sz w:val="20"/>
          <w:szCs w:val="20"/>
          <w:color w:val="auto"/>
        </w:rPr>
        <w:tab/>
      </w:r>
      <w:r>
        <w:rPr>
          <w:rFonts w:ascii="Times New Roman" w:cs="Times New Roman" w:eastAsia="Times New Roman" w:hAnsi="Times New Roman"/>
          <w:sz w:val="21"/>
          <w:szCs w:val="21"/>
          <w:color w:val="FF0000"/>
          <w:strike w:val="1"/>
        </w:rPr>
        <w:t>108</w:t>
      </w:r>
      <w:r>
        <w:rPr>
          <w:rFonts w:ascii="Times New Roman" w:cs="Times New Roman" w:eastAsia="Times New Roman" w:hAnsi="Times New Roman"/>
          <w:sz w:val="21"/>
          <w:szCs w:val="21"/>
          <w:u w:val="single" w:color="auto"/>
          <w:color w:val="0000FF"/>
          <w:strike w:val="1"/>
        </w:rPr>
        <w:t>112</w:t>
      </w:r>
    </w:p>
    <w:p>
      <w:pPr>
        <w:spacing w:after="0" w:line="15"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4.03</w:t>
        <w:tab/>
        <w:t>Certain Waivers</w:t>
      </w:r>
      <w:r>
        <w:rPr>
          <w:sz w:val="20"/>
          <w:szCs w:val="20"/>
          <w:color w:val="auto"/>
        </w:rPr>
        <w:tab/>
      </w:r>
      <w:r>
        <w:rPr>
          <w:rFonts w:ascii="Times New Roman" w:cs="Times New Roman" w:eastAsia="Times New Roman" w:hAnsi="Times New Roman"/>
          <w:sz w:val="21"/>
          <w:szCs w:val="21"/>
          <w:color w:val="FF0000"/>
          <w:strike w:val="1"/>
        </w:rPr>
        <w:t>108</w:t>
      </w:r>
      <w:r>
        <w:rPr>
          <w:rFonts w:ascii="Times New Roman" w:cs="Times New Roman" w:eastAsia="Times New Roman" w:hAnsi="Times New Roman"/>
          <w:sz w:val="21"/>
          <w:szCs w:val="21"/>
          <w:u w:val="single" w:color="auto"/>
          <w:color w:val="0000FF"/>
          <w:strike w:val="1"/>
        </w:rPr>
        <w:t>113</w:t>
      </w:r>
    </w:p>
    <w:p>
      <w:pPr>
        <w:spacing w:after="0" w:line="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4.04</w:t>
        <w:tab/>
        <w:t>Obligations Independent</w:t>
      </w:r>
      <w:r>
        <w:rPr>
          <w:sz w:val="20"/>
          <w:szCs w:val="20"/>
          <w:color w:val="auto"/>
        </w:rPr>
        <w:tab/>
      </w:r>
      <w:r>
        <w:rPr>
          <w:rFonts w:ascii="Times New Roman" w:cs="Times New Roman" w:eastAsia="Times New Roman" w:hAnsi="Times New Roman"/>
          <w:sz w:val="21"/>
          <w:szCs w:val="21"/>
          <w:color w:val="FF0000"/>
          <w:strike w:val="1"/>
        </w:rPr>
        <w:t>109</w:t>
      </w:r>
      <w:r>
        <w:rPr>
          <w:rFonts w:ascii="Times New Roman" w:cs="Times New Roman" w:eastAsia="Times New Roman" w:hAnsi="Times New Roman"/>
          <w:sz w:val="21"/>
          <w:szCs w:val="21"/>
          <w:u w:val="single" w:color="auto"/>
          <w:color w:val="0000FF"/>
          <w:strike w:val="1"/>
        </w:rPr>
        <w:t>113</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4.05</w:t>
        <w:tab/>
        <w:t>Subrogation</w:t>
      </w:r>
      <w:r>
        <w:rPr>
          <w:sz w:val="20"/>
          <w:szCs w:val="20"/>
          <w:color w:val="auto"/>
        </w:rPr>
        <w:tab/>
      </w:r>
      <w:r>
        <w:rPr>
          <w:rFonts w:ascii="Times New Roman" w:cs="Times New Roman" w:eastAsia="Times New Roman" w:hAnsi="Times New Roman"/>
          <w:sz w:val="21"/>
          <w:szCs w:val="21"/>
          <w:color w:val="FF0000"/>
          <w:strike w:val="1"/>
        </w:rPr>
        <w:t>109</w:t>
      </w:r>
      <w:r>
        <w:rPr>
          <w:rFonts w:ascii="Times New Roman" w:cs="Times New Roman" w:eastAsia="Times New Roman" w:hAnsi="Times New Roman"/>
          <w:sz w:val="21"/>
          <w:szCs w:val="21"/>
          <w:u w:val="single" w:color="auto"/>
          <w:color w:val="0000FF"/>
          <w:strike w:val="1"/>
        </w:rPr>
        <w:t>113</w:t>
      </w:r>
    </w:p>
    <w:p>
      <w:pPr>
        <w:spacing w:after="0" w:line="4" w:lineRule="exact"/>
        <w:rPr>
          <w:sz w:val="20"/>
          <w:szCs w:val="20"/>
          <w:color w:val="auto"/>
        </w:rPr>
      </w:pPr>
    </w:p>
    <w:p>
      <w:pPr>
        <w:ind w:left="78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4.06</w:t>
        <w:tab/>
        <w:t>Termination; Reinstatement</w:t>
      </w:r>
      <w:r>
        <w:rPr>
          <w:sz w:val="20"/>
          <w:szCs w:val="20"/>
          <w:color w:val="auto"/>
        </w:rPr>
        <w:tab/>
      </w:r>
      <w:r>
        <w:rPr>
          <w:rFonts w:ascii="Times New Roman" w:cs="Times New Roman" w:eastAsia="Times New Roman" w:hAnsi="Times New Roman"/>
          <w:sz w:val="21"/>
          <w:szCs w:val="21"/>
          <w:color w:val="FF0000"/>
          <w:strike w:val="1"/>
        </w:rPr>
        <w:t>109</w:t>
      </w:r>
      <w:r>
        <w:rPr>
          <w:rFonts w:ascii="Times New Roman" w:cs="Times New Roman" w:eastAsia="Times New Roman" w:hAnsi="Times New Roman"/>
          <w:sz w:val="21"/>
          <w:szCs w:val="21"/>
          <w:u w:val="single" w:color="auto"/>
          <w:color w:val="0000FF"/>
          <w:strike w:val="1"/>
        </w:rPr>
        <w:t>113</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4.07</w:t>
        <w:tab/>
        <w:t>Subordination</w:t>
      </w:r>
      <w:r>
        <w:rPr>
          <w:sz w:val="20"/>
          <w:szCs w:val="20"/>
          <w:color w:val="auto"/>
        </w:rPr>
        <w:tab/>
      </w:r>
      <w:r>
        <w:rPr>
          <w:rFonts w:ascii="Times New Roman" w:cs="Times New Roman" w:eastAsia="Times New Roman" w:hAnsi="Times New Roman"/>
          <w:sz w:val="21"/>
          <w:szCs w:val="21"/>
          <w:color w:val="FF0000"/>
          <w:strike w:val="1"/>
        </w:rPr>
        <w:t>109</w:t>
      </w:r>
      <w:r>
        <w:rPr>
          <w:rFonts w:ascii="Times New Roman" w:cs="Times New Roman" w:eastAsia="Times New Roman" w:hAnsi="Times New Roman"/>
          <w:sz w:val="21"/>
          <w:szCs w:val="21"/>
          <w:u w:val="single" w:color="auto"/>
          <w:color w:val="0000FF"/>
          <w:strike w:val="1"/>
        </w:rPr>
        <w:t>114</w:t>
      </w:r>
    </w:p>
    <w:p>
      <w:pPr>
        <w:spacing w:after="0" w:line="5" w:lineRule="exact"/>
        <w:rPr>
          <w:sz w:val="20"/>
          <w:szCs w:val="20"/>
          <w:color w:val="auto"/>
        </w:rPr>
      </w:pPr>
    </w:p>
    <w:p>
      <w:pPr>
        <w:ind w:left="760"/>
        <w:spacing w:after="0"/>
        <w:tabs>
          <w:tab w:leader="none" w:pos="2060" w:val="left"/>
          <w:tab w:leader="dot" w:pos="8220" w:val="left"/>
        </w:tabs>
        <w:rPr>
          <w:sz w:val="20"/>
          <w:szCs w:val="20"/>
          <w:color w:val="auto"/>
        </w:rPr>
      </w:pPr>
      <w:r>
        <w:rPr>
          <w:rFonts w:ascii="Times New Roman" w:cs="Times New Roman" w:eastAsia="Times New Roman" w:hAnsi="Times New Roman"/>
          <w:sz w:val="22"/>
          <w:szCs w:val="22"/>
          <w:color w:val="0000FF"/>
        </w:rPr>
        <w:t>Section 4.08</w:t>
        <w:tab/>
        <w:t>Stay of Acceleration</w:t>
      </w:r>
      <w:r>
        <w:rPr>
          <w:sz w:val="20"/>
          <w:szCs w:val="20"/>
          <w:color w:val="auto"/>
        </w:rPr>
        <w:tab/>
      </w:r>
      <w:r>
        <w:rPr>
          <w:rFonts w:ascii="Times New Roman" w:cs="Times New Roman" w:eastAsia="Times New Roman" w:hAnsi="Times New Roman"/>
          <w:sz w:val="19"/>
          <w:szCs w:val="19"/>
          <w:color w:val="FF0000"/>
          <w:strike w:val="1"/>
        </w:rPr>
        <w:t>110</w:t>
      </w:r>
      <w:r>
        <w:rPr>
          <w:rFonts w:ascii="Times New Roman" w:cs="Times New Roman" w:eastAsia="Times New Roman" w:hAnsi="Times New Roman"/>
          <w:sz w:val="19"/>
          <w:szCs w:val="19"/>
          <w:u w:val="single" w:color="auto"/>
          <w:color w:val="0000FF"/>
          <w:strike w:val="1"/>
        </w:rPr>
        <w:t>114</w:t>
      </w:r>
    </w:p>
    <w:p>
      <w:pPr>
        <w:spacing w:after="0" w:line="15"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4.09</w:t>
        <w:tab/>
        <w:t>Condition of Borrower</w:t>
      </w:r>
      <w:r>
        <w:rPr>
          <w:sz w:val="20"/>
          <w:szCs w:val="20"/>
          <w:color w:val="auto"/>
        </w:rPr>
        <w:tab/>
      </w:r>
      <w:r>
        <w:rPr>
          <w:rFonts w:ascii="Times New Roman" w:cs="Times New Roman" w:eastAsia="Times New Roman" w:hAnsi="Times New Roman"/>
          <w:sz w:val="21"/>
          <w:szCs w:val="21"/>
          <w:color w:val="FF0000"/>
          <w:strike w:val="1"/>
        </w:rPr>
        <w:t>110</w:t>
      </w:r>
      <w:r>
        <w:rPr>
          <w:rFonts w:ascii="Times New Roman" w:cs="Times New Roman" w:eastAsia="Times New Roman" w:hAnsi="Times New Roman"/>
          <w:sz w:val="21"/>
          <w:szCs w:val="21"/>
          <w:u w:val="single" w:color="auto"/>
          <w:color w:val="0000FF"/>
          <w:strike w:val="1"/>
        </w:rPr>
        <w:t>114</w:t>
      </w:r>
    </w:p>
    <w:p>
      <w:pPr>
        <w:spacing w:after="0" w:line="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4.10</w:t>
        <w:tab/>
        <w:t>Limitation on Guaranty</w:t>
      </w:r>
      <w:r>
        <w:rPr>
          <w:sz w:val="20"/>
          <w:szCs w:val="20"/>
          <w:color w:val="auto"/>
        </w:rPr>
        <w:tab/>
      </w:r>
      <w:r>
        <w:rPr>
          <w:rFonts w:ascii="Times New Roman" w:cs="Times New Roman" w:eastAsia="Times New Roman" w:hAnsi="Times New Roman"/>
          <w:sz w:val="21"/>
          <w:szCs w:val="21"/>
          <w:color w:val="FF0000"/>
          <w:strike w:val="1"/>
        </w:rPr>
        <w:t>110</w:t>
      </w:r>
      <w:r>
        <w:rPr>
          <w:rFonts w:ascii="Times New Roman" w:cs="Times New Roman" w:eastAsia="Times New Roman" w:hAnsi="Times New Roman"/>
          <w:sz w:val="21"/>
          <w:szCs w:val="21"/>
          <w:u w:val="single" w:color="auto"/>
          <w:color w:val="0000FF"/>
          <w:strike w:val="1"/>
        </w:rPr>
        <w:t>114</w:t>
      </w:r>
    </w:p>
    <w:p>
      <w:pPr>
        <w:spacing w:after="0" w:line="4" w:lineRule="exact"/>
        <w:rPr>
          <w:sz w:val="20"/>
          <w:szCs w:val="20"/>
          <w:color w:val="auto"/>
        </w:rPr>
      </w:pPr>
    </w:p>
    <w:p>
      <w:pPr>
        <w:ind w:left="78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4.11</w:t>
        <w:tab/>
        <w:t>Guaranty Supplements</w:t>
      </w:r>
      <w:r>
        <w:rPr>
          <w:sz w:val="20"/>
          <w:szCs w:val="20"/>
          <w:color w:val="auto"/>
        </w:rPr>
        <w:tab/>
      </w:r>
      <w:r>
        <w:rPr>
          <w:rFonts w:ascii="Times New Roman" w:cs="Times New Roman" w:eastAsia="Times New Roman" w:hAnsi="Times New Roman"/>
          <w:sz w:val="21"/>
          <w:szCs w:val="21"/>
          <w:color w:val="FF0000"/>
          <w:strike w:val="1"/>
        </w:rPr>
        <w:t>110</w:t>
      </w:r>
      <w:r>
        <w:rPr>
          <w:rFonts w:ascii="Times New Roman" w:cs="Times New Roman" w:eastAsia="Times New Roman" w:hAnsi="Times New Roman"/>
          <w:sz w:val="21"/>
          <w:szCs w:val="21"/>
          <w:u w:val="single" w:color="auto"/>
          <w:color w:val="0000FF"/>
          <w:strike w:val="1"/>
        </w:rPr>
        <w:t>115</w:t>
      </w:r>
    </w:p>
    <w:p>
      <w:pPr>
        <w:spacing w:after="0" w:line="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4.12</w:t>
        <w:tab/>
        <w:t>Keepwell</w:t>
      </w:r>
      <w:r>
        <w:rPr>
          <w:sz w:val="20"/>
          <w:szCs w:val="20"/>
          <w:color w:val="auto"/>
        </w:rPr>
        <w:tab/>
      </w:r>
      <w:r>
        <w:rPr>
          <w:rFonts w:ascii="Times New Roman" w:cs="Times New Roman" w:eastAsia="Times New Roman" w:hAnsi="Times New Roman"/>
          <w:sz w:val="19"/>
          <w:szCs w:val="19"/>
          <w:color w:val="FF0000"/>
          <w:strike w:val="1"/>
        </w:rPr>
        <w:t>111</w:t>
      </w:r>
      <w:r>
        <w:rPr>
          <w:rFonts w:ascii="Times New Roman" w:cs="Times New Roman" w:eastAsia="Times New Roman" w:hAnsi="Times New Roman"/>
          <w:sz w:val="19"/>
          <w:szCs w:val="19"/>
          <w:u w:val="single" w:color="auto"/>
          <w:color w:val="0000FF"/>
          <w:strike w:val="1"/>
        </w:rPr>
        <w:t>115</w:t>
      </w:r>
    </w:p>
    <w:p>
      <w:pPr>
        <w:spacing w:after="0" w:line="2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0000FF"/>
        </w:rPr>
        <w:t>ARTICLE V</w:t>
      </w:r>
    </w:p>
    <w:p>
      <w:pPr>
        <w:spacing w:after="0" w:line="2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0000FF"/>
        </w:rPr>
        <w:t>CONDITIONS PRECEDENT</w:t>
      </w:r>
    </w:p>
    <w:p>
      <w:pPr>
        <w:spacing w:after="0" w:line="22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5.01</w:t>
        <w:tab/>
        <w:t>Conditions of Initial Credit Extension</w:t>
      </w:r>
      <w:r>
        <w:rPr>
          <w:sz w:val="20"/>
          <w:szCs w:val="20"/>
          <w:color w:val="auto"/>
        </w:rPr>
        <w:tab/>
      </w:r>
      <w:r>
        <w:rPr>
          <w:rFonts w:ascii="Times New Roman" w:cs="Times New Roman" w:eastAsia="Times New Roman" w:hAnsi="Times New Roman"/>
          <w:sz w:val="19"/>
          <w:szCs w:val="19"/>
          <w:color w:val="FF0000"/>
          <w:strike w:val="1"/>
        </w:rPr>
        <w:t>111</w:t>
      </w:r>
      <w:r>
        <w:rPr>
          <w:rFonts w:ascii="Times New Roman" w:cs="Times New Roman" w:eastAsia="Times New Roman" w:hAnsi="Times New Roman"/>
          <w:sz w:val="19"/>
          <w:szCs w:val="19"/>
          <w:u w:val="single" w:color="auto"/>
          <w:color w:val="0000FF"/>
          <w:strike w:val="1"/>
        </w:rPr>
        <w:t>115</w:t>
      </w:r>
    </w:p>
    <w:p>
      <w:pPr>
        <w:spacing w:after="0" w:line="28"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5.02</w:t>
        <w:tab/>
        <w:t>Conditions to all Credit Extensions</w:t>
      </w:r>
      <w:r>
        <w:rPr>
          <w:sz w:val="20"/>
          <w:szCs w:val="20"/>
          <w:color w:val="auto"/>
        </w:rPr>
        <w:tab/>
      </w:r>
      <w:r>
        <w:rPr>
          <w:rFonts w:ascii="Times New Roman" w:cs="Times New Roman" w:eastAsia="Times New Roman" w:hAnsi="Times New Roman"/>
          <w:sz w:val="19"/>
          <w:szCs w:val="19"/>
          <w:color w:val="FF0000"/>
          <w:strike w:val="1"/>
        </w:rPr>
        <w:t>114</w:t>
      </w:r>
      <w:r>
        <w:rPr>
          <w:rFonts w:ascii="Times New Roman" w:cs="Times New Roman" w:eastAsia="Times New Roman" w:hAnsi="Times New Roman"/>
          <w:sz w:val="19"/>
          <w:szCs w:val="19"/>
          <w:u w:val="single" w:color="auto"/>
          <w:color w:val="0000FF"/>
          <w:strike w:val="1"/>
        </w:rPr>
        <w:t>118</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000FF"/>
        </w:rPr>
        <w:t>ARTICLE VI</w:t>
      </w:r>
    </w:p>
    <w:p>
      <w:pPr>
        <w:spacing w:after="0" w:line="27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REPRESENTATIONS AND WARRANTIES</w:t>
      </w:r>
    </w:p>
    <w:p>
      <w:pPr>
        <w:spacing w:after="0" w:line="22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6.01</w:t>
        <w:tab/>
        <w:t>Existence, Qualification and Power</w:t>
      </w:r>
      <w:r>
        <w:rPr>
          <w:sz w:val="20"/>
          <w:szCs w:val="20"/>
          <w:color w:val="auto"/>
        </w:rPr>
        <w:tab/>
      </w:r>
      <w:r>
        <w:rPr>
          <w:rFonts w:ascii="Times New Roman" w:cs="Times New Roman" w:eastAsia="Times New Roman" w:hAnsi="Times New Roman"/>
          <w:sz w:val="21"/>
          <w:szCs w:val="21"/>
          <w:color w:val="FF0000"/>
          <w:strike w:val="1"/>
        </w:rPr>
        <w:t>115</w:t>
      </w:r>
      <w:r>
        <w:rPr>
          <w:rFonts w:ascii="Times New Roman" w:cs="Times New Roman" w:eastAsia="Times New Roman" w:hAnsi="Times New Roman"/>
          <w:sz w:val="21"/>
          <w:szCs w:val="21"/>
          <w:u w:val="single" w:color="auto"/>
          <w:color w:val="0000FF"/>
          <w:strike w:val="1"/>
        </w:rPr>
        <w:t>119</w:t>
      </w:r>
    </w:p>
    <w:p>
      <w:pPr>
        <w:spacing w:after="0" w:line="28" w:lineRule="exact"/>
        <w:rPr>
          <w:sz w:val="20"/>
          <w:szCs w:val="20"/>
          <w:color w:val="auto"/>
        </w:rPr>
      </w:pPr>
    </w:p>
    <w:p>
      <w:pPr>
        <w:ind w:left="760"/>
        <w:spacing w:after="0"/>
        <w:tabs>
          <w:tab w:leader="none" w:pos="2060" w:val="left"/>
          <w:tab w:leader="dot" w:pos="8220" w:val="left"/>
        </w:tabs>
        <w:rPr>
          <w:sz w:val="20"/>
          <w:szCs w:val="20"/>
          <w:color w:val="auto"/>
        </w:rPr>
      </w:pPr>
      <w:r>
        <w:rPr>
          <w:rFonts w:ascii="Times New Roman" w:cs="Times New Roman" w:eastAsia="Times New Roman" w:hAnsi="Times New Roman"/>
          <w:sz w:val="22"/>
          <w:szCs w:val="22"/>
          <w:color w:val="0000FF"/>
        </w:rPr>
        <w:t>Section 6.02</w:t>
        <w:tab/>
        <w:t>Subsidiaries; Affiliates; Loan Parties</w:t>
      </w:r>
      <w:r>
        <w:rPr>
          <w:sz w:val="20"/>
          <w:szCs w:val="20"/>
          <w:color w:val="auto"/>
        </w:rPr>
        <w:tab/>
      </w:r>
      <w:r>
        <w:rPr>
          <w:rFonts w:ascii="Times New Roman" w:cs="Times New Roman" w:eastAsia="Times New Roman" w:hAnsi="Times New Roman"/>
          <w:sz w:val="19"/>
          <w:szCs w:val="19"/>
          <w:color w:val="FF0000"/>
          <w:strike w:val="1"/>
        </w:rPr>
        <w:t>115</w:t>
      </w:r>
      <w:r>
        <w:rPr>
          <w:rFonts w:ascii="Times New Roman" w:cs="Times New Roman" w:eastAsia="Times New Roman" w:hAnsi="Times New Roman"/>
          <w:sz w:val="19"/>
          <w:szCs w:val="19"/>
          <w:u w:val="single" w:color="auto"/>
          <w:color w:val="0000FF"/>
          <w:strike w:val="1"/>
        </w:rPr>
        <w:t>119</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6.03</w:t>
        <w:tab/>
        <w:t>Authority; No Conflict</w:t>
      </w:r>
      <w:r>
        <w:rPr>
          <w:sz w:val="20"/>
          <w:szCs w:val="20"/>
          <w:color w:val="auto"/>
        </w:rPr>
        <w:tab/>
      </w:r>
      <w:r>
        <w:rPr>
          <w:rFonts w:ascii="Times New Roman" w:cs="Times New Roman" w:eastAsia="Times New Roman" w:hAnsi="Times New Roman"/>
          <w:sz w:val="21"/>
          <w:szCs w:val="21"/>
          <w:color w:val="FF0000"/>
          <w:strike w:val="1"/>
        </w:rPr>
        <w:t>115</w:t>
      </w:r>
      <w:r>
        <w:rPr>
          <w:rFonts w:ascii="Times New Roman" w:cs="Times New Roman" w:eastAsia="Times New Roman" w:hAnsi="Times New Roman"/>
          <w:sz w:val="21"/>
          <w:szCs w:val="21"/>
          <w:u w:val="single" w:color="auto"/>
          <w:color w:val="0000FF"/>
          <w:strike w:val="1"/>
        </w:rPr>
        <w:t>120</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6.04</w:t>
        <w:tab/>
        <w:t>Financial Condition</w:t>
      </w:r>
      <w:r>
        <w:rPr>
          <w:sz w:val="20"/>
          <w:szCs w:val="20"/>
          <w:color w:val="auto"/>
        </w:rPr>
        <w:tab/>
      </w:r>
      <w:r>
        <w:rPr>
          <w:rFonts w:ascii="Times New Roman" w:cs="Times New Roman" w:eastAsia="Times New Roman" w:hAnsi="Times New Roman"/>
          <w:sz w:val="21"/>
          <w:szCs w:val="21"/>
          <w:color w:val="FF0000"/>
          <w:strike w:val="1"/>
        </w:rPr>
        <w:t>116</w:t>
      </w:r>
      <w:r>
        <w:rPr>
          <w:rFonts w:ascii="Times New Roman" w:cs="Times New Roman" w:eastAsia="Times New Roman" w:hAnsi="Times New Roman"/>
          <w:sz w:val="21"/>
          <w:szCs w:val="21"/>
          <w:u w:val="single" w:color="auto"/>
          <w:color w:val="0000FF"/>
          <w:strike w:val="1"/>
        </w:rPr>
        <w:t>120</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6.05</w:t>
        <w:tab/>
        <w:t>Litigation, Compliance with Laws</w:t>
      </w:r>
      <w:r>
        <w:rPr>
          <w:sz w:val="20"/>
          <w:szCs w:val="20"/>
          <w:color w:val="auto"/>
        </w:rPr>
        <w:tab/>
      </w:r>
      <w:r>
        <w:rPr>
          <w:rFonts w:ascii="Times New Roman" w:cs="Times New Roman" w:eastAsia="Times New Roman" w:hAnsi="Times New Roman"/>
          <w:sz w:val="21"/>
          <w:szCs w:val="21"/>
          <w:color w:val="FF0000"/>
          <w:strike w:val="1"/>
        </w:rPr>
        <w:t>117</w:t>
      </w:r>
      <w:r>
        <w:rPr>
          <w:rFonts w:ascii="Times New Roman" w:cs="Times New Roman" w:eastAsia="Times New Roman" w:hAnsi="Times New Roman"/>
          <w:sz w:val="21"/>
          <w:szCs w:val="21"/>
          <w:u w:val="single" w:color="auto"/>
          <w:color w:val="0000FF"/>
          <w:strike w:val="1"/>
        </w:rPr>
        <w:t>121</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6.06</w:t>
        <w:tab/>
        <w:t>Titles and Liens</w:t>
      </w:r>
      <w:r>
        <w:rPr>
          <w:sz w:val="20"/>
          <w:szCs w:val="20"/>
          <w:color w:val="auto"/>
        </w:rPr>
        <w:tab/>
      </w:r>
      <w:r>
        <w:rPr>
          <w:rFonts w:ascii="Times New Roman" w:cs="Times New Roman" w:eastAsia="Times New Roman" w:hAnsi="Times New Roman"/>
          <w:sz w:val="21"/>
          <w:szCs w:val="21"/>
          <w:color w:val="FF0000"/>
          <w:strike w:val="1"/>
        </w:rPr>
        <w:t>117</w:t>
      </w:r>
      <w:r>
        <w:rPr>
          <w:rFonts w:ascii="Times New Roman" w:cs="Times New Roman" w:eastAsia="Times New Roman" w:hAnsi="Times New Roman"/>
          <w:sz w:val="21"/>
          <w:szCs w:val="21"/>
          <w:u w:val="single" w:color="auto"/>
          <w:color w:val="0000FF"/>
          <w:strike w:val="1"/>
        </w:rPr>
        <w:t>121</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6.07</w:t>
        <w:tab/>
        <w:t>Regulation U; Investment Company Act</w:t>
      </w:r>
      <w:r>
        <w:rPr>
          <w:sz w:val="20"/>
          <w:szCs w:val="20"/>
          <w:color w:val="auto"/>
        </w:rPr>
        <w:tab/>
      </w:r>
      <w:r>
        <w:rPr>
          <w:rFonts w:ascii="Times New Roman" w:cs="Times New Roman" w:eastAsia="Times New Roman" w:hAnsi="Times New Roman"/>
          <w:sz w:val="21"/>
          <w:szCs w:val="21"/>
          <w:color w:val="FF0000"/>
          <w:strike w:val="1"/>
        </w:rPr>
        <w:t>117</w:t>
      </w:r>
      <w:r>
        <w:rPr>
          <w:rFonts w:ascii="Times New Roman" w:cs="Times New Roman" w:eastAsia="Times New Roman" w:hAnsi="Times New Roman"/>
          <w:sz w:val="21"/>
          <w:szCs w:val="21"/>
          <w:u w:val="single" w:color="auto"/>
          <w:color w:val="0000FF"/>
          <w:strike w:val="1"/>
        </w:rPr>
        <w:t>121</w:t>
      </w:r>
    </w:p>
    <w:p>
      <w:pPr>
        <w:spacing w:after="0" w:line="4" w:lineRule="exact"/>
        <w:rPr>
          <w:sz w:val="20"/>
          <w:szCs w:val="20"/>
          <w:color w:val="auto"/>
        </w:rPr>
      </w:pPr>
    </w:p>
    <w:p>
      <w:pPr>
        <w:ind w:left="660"/>
        <w:spacing w:after="0"/>
        <w:tabs>
          <w:tab w:leader="none" w:pos="1960" w:val="left"/>
          <w:tab w:leader="dot" w:pos="8300" w:val="left"/>
        </w:tabs>
        <w:rPr>
          <w:sz w:val="20"/>
          <w:szCs w:val="20"/>
          <w:color w:val="auto"/>
        </w:rPr>
      </w:pPr>
      <w:r>
        <w:rPr>
          <w:rFonts w:ascii="Times New Roman" w:cs="Times New Roman" w:eastAsia="Times New Roman" w:hAnsi="Times New Roman"/>
          <w:sz w:val="22"/>
          <w:szCs w:val="22"/>
          <w:color w:val="0000FF"/>
        </w:rPr>
        <w:t>Section 6.08</w:t>
        <w:tab/>
        <w:t>Taxes</w:t>
      </w:r>
      <w:r>
        <w:rPr>
          <w:sz w:val="20"/>
          <w:szCs w:val="20"/>
          <w:color w:val="auto"/>
        </w:rPr>
        <w:tab/>
      </w:r>
      <w:r>
        <w:rPr>
          <w:rFonts w:ascii="Times New Roman" w:cs="Times New Roman" w:eastAsia="Times New Roman" w:hAnsi="Times New Roman"/>
          <w:sz w:val="21"/>
          <w:szCs w:val="21"/>
          <w:color w:val="FF0000"/>
          <w:strike w:val="1"/>
        </w:rPr>
        <w:t>117</w:t>
      </w:r>
      <w:r>
        <w:rPr>
          <w:rFonts w:ascii="Times New Roman" w:cs="Times New Roman" w:eastAsia="Times New Roman" w:hAnsi="Times New Roman"/>
          <w:sz w:val="21"/>
          <w:szCs w:val="21"/>
          <w:u w:val="single" w:color="auto"/>
          <w:color w:val="0000FF"/>
          <w:strike w:val="1"/>
        </w:rPr>
        <w:t>121</w:t>
      </w:r>
    </w:p>
    <w:p>
      <w:pPr>
        <w:spacing w:after="0" w:line="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6.09</w:t>
        <w:tab/>
        <w:t>Senior Debt</w:t>
      </w:r>
      <w:r>
        <w:rPr>
          <w:sz w:val="20"/>
          <w:szCs w:val="20"/>
          <w:color w:val="auto"/>
        </w:rPr>
        <w:tab/>
      </w:r>
      <w:r>
        <w:rPr>
          <w:rFonts w:ascii="Times New Roman" w:cs="Times New Roman" w:eastAsia="Times New Roman" w:hAnsi="Times New Roman"/>
          <w:sz w:val="21"/>
          <w:szCs w:val="21"/>
          <w:color w:val="FF0000"/>
          <w:strike w:val="1"/>
        </w:rPr>
        <w:t>117</w:t>
      </w:r>
      <w:r>
        <w:rPr>
          <w:rFonts w:ascii="Times New Roman" w:cs="Times New Roman" w:eastAsia="Times New Roman" w:hAnsi="Times New Roman"/>
          <w:sz w:val="21"/>
          <w:szCs w:val="21"/>
          <w:u w:val="single" w:color="auto"/>
          <w:color w:val="0000FF"/>
          <w:strike w:val="1"/>
        </w:rPr>
        <w:t>122</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6.10</w:t>
        <w:tab/>
        <w:t>Full Disclosure</w:t>
      </w:r>
      <w:r>
        <w:rPr>
          <w:sz w:val="20"/>
          <w:szCs w:val="20"/>
          <w:color w:val="auto"/>
        </w:rPr>
        <w:tab/>
      </w:r>
      <w:r>
        <w:rPr>
          <w:rFonts w:ascii="Times New Roman" w:cs="Times New Roman" w:eastAsia="Times New Roman" w:hAnsi="Times New Roman"/>
          <w:sz w:val="21"/>
          <w:szCs w:val="21"/>
          <w:color w:val="FF0000"/>
          <w:strike w:val="1"/>
        </w:rPr>
        <w:t>118</w:t>
      </w:r>
      <w:r>
        <w:rPr>
          <w:rFonts w:ascii="Times New Roman" w:cs="Times New Roman" w:eastAsia="Times New Roman" w:hAnsi="Times New Roman"/>
          <w:sz w:val="21"/>
          <w:szCs w:val="21"/>
          <w:u w:val="single" w:color="auto"/>
          <w:color w:val="0000FF"/>
          <w:strike w:val="1"/>
        </w:rPr>
        <w:t>122</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6.11</w:t>
        <w:tab/>
        <w:t>No Default</w:t>
      </w:r>
      <w:r>
        <w:rPr>
          <w:sz w:val="20"/>
          <w:szCs w:val="20"/>
          <w:color w:val="auto"/>
        </w:rPr>
        <w:tab/>
      </w:r>
      <w:r>
        <w:rPr>
          <w:rFonts w:ascii="Times New Roman" w:cs="Times New Roman" w:eastAsia="Times New Roman" w:hAnsi="Times New Roman"/>
          <w:sz w:val="21"/>
          <w:szCs w:val="21"/>
          <w:color w:val="FF0000"/>
          <w:strike w:val="1"/>
        </w:rPr>
        <w:t>118</w:t>
      </w:r>
      <w:r>
        <w:rPr>
          <w:rFonts w:ascii="Times New Roman" w:cs="Times New Roman" w:eastAsia="Times New Roman" w:hAnsi="Times New Roman"/>
          <w:sz w:val="21"/>
          <w:szCs w:val="21"/>
          <w:u w:val="single" w:color="auto"/>
          <w:color w:val="0000FF"/>
          <w:strike w:val="1"/>
        </w:rPr>
        <w:t>122</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6.12</w:t>
        <w:tab/>
        <w:t>Governmental and Third Party Approvals</w:t>
      </w:r>
      <w:r>
        <w:rPr>
          <w:sz w:val="20"/>
          <w:szCs w:val="20"/>
          <w:color w:val="auto"/>
        </w:rPr>
        <w:tab/>
      </w:r>
      <w:r>
        <w:rPr>
          <w:rFonts w:ascii="Times New Roman" w:cs="Times New Roman" w:eastAsia="Times New Roman" w:hAnsi="Times New Roman"/>
          <w:sz w:val="21"/>
          <w:szCs w:val="21"/>
          <w:color w:val="FF0000"/>
          <w:strike w:val="1"/>
        </w:rPr>
        <w:t>118</w:t>
      </w:r>
      <w:r>
        <w:rPr>
          <w:rFonts w:ascii="Times New Roman" w:cs="Times New Roman" w:eastAsia="Times New Roman" w:hAnsi="Times New Roman"/>
          <w:sz w:val="21"/>
          <w:szCs w:val="21"/>
          <w:u w:val="single" w:color="auto"/>
          <w:color w:val="0000FF"/>
          <w:strike w:val="1"/>
        </w:rPr>
        <w:t>122</w:t>
      </w:r>
    </w:p>
    <w:p>
      <w:pPr>
        <w:spacing w:after="0" w:line="4" w:lineRule="exact"/>
        <w:rPr>
          <w:sz w:val="20"/>
          <w:szCs w:val="20"/>
          <w:color w:val="auto"/>
        </w:rPr>
      </w:pPr>
    </w:p>
    <w:p>
      <w:pPr>
        <w:ind w:left="780"/>
        <w:spacing w:after="0"/>
        <w:tabs>
          <w:tab w:leader="none" w:pos="2080" w:val="left"/>
          <w:tab w:leader="dot" w:pos="8200" w:val="left"/>
        </w:tabs>
        <w:rPr>
          <w:sz w:val="20"/>
          <w:szCs w:val="20"/>
          <w:color w:val="auto"/>
        </w:rPr>
      </w:pPr>
      <w:r>
        <w:rPr>
          <w:rFonts w:ascii="Times New Roman" w:cs="Times New Roman" w:eastAsia="Times New Roman" w:hAnsi="Times New Roman"/>
          <w:sz w:val="22"/>
          <w:szCs w:val="22"/>
          <w:color w:val="0000FF"/>
        </w:rPr>
        <w:t>Section 6.13</w:t>
        <w:tab/>
        <w:t>Binding Agreements</w:t>
      </w:r>
      <w:r>
        <w:rPr>
          <w:sz w:val="20"/>
          <w:szCs w:val="20"/>
          <w:color w:val="auto"/>
        </w:rPr>
        <w:tab/>
      </w:r>
      <w:r>
        <w:rPr>
          <w:rFonts w:ascii="Times New Roman" w:cs="Times New Roman" w:eastAsia="Times New Roman" w:hAnsi="Times New Roman"/>
          <w:sz w:val="21"/>
          <w:szCs w:val="21"/>
          <w:color w:val="FF0000"/>
          <w:strike w:val="1"/>
        </w:rPr>
        <w:t>118</w:t>
      </w:r>
      <w:r>
        <w:rPr>
          <w:rFonts w:ascii="Times New Roman" w:cs="Times New Roman" w:eastAsia="Times New Roman" w:hAnsi="Times New Roman"/>
          <w:sz w:val="21"/>
          <w:szCs w:val="21"/>
          <w:u w:val="single" w:color="auto"/>
          <w:color w:val="0000FF"/>
          <w:strike w:val="1"/>
        </w:rPr>
        <w:t>122</w:t>
      </w:r>
    </w:p>
    <w:p>
      <w:pPr>
        <w:spacing w:after="0" w:line="4" w:lineRule="exact"/>
        <w:rPr>
          <w:sz w:val="20"/>
          <w:szCs w:val="20"/>
          <w:color w:val="auto"/>
        </w:rPr>
      </w:pPr>
    </w:p>
    <w:p>
      <w:pPr>
        <w:ind w:left="760"/>
        <w:spacing w:after="0"/>
        <w:tabs>
          <w:tab w:leader="none" w:pos="2060" w:val="left"/>
          <w:tab w:leader="dot" w:pos="8220" w:val="left"/>
        </w:tabs>
        <w:rPr>
          <w:sz w:val="20"/>
          <w:szCs w:val="20"/>
          <w:color w:val="auto"/>
        </w:rPr>
      </w:pPr>
      <w:r>
        <w:rPr>
          <w:rFonts w:ascii="Times New Roman" w:cs="Times New Roman" w:eastAsia="Times New Roman" w:hAnsi="Times New Roman"/>
          <w:sz w:val="22"/>
          <w:szCs w:val="22"/>
          <w:color w:val="0000FF"/>
        </w:rPr>
        <w:t>Section 6.14</w:t>
        <w:tab/>
        <w:t>Anti-Corruption Laws and Sanctions</w:t>
      </w:r>
      <w:r>
        <w:rPr>
          <w:sz w:val="20"/>
          <w:szCs w:val="20"/>
          <w:color w:val="auto"/>
        </w:rPr>
        <w:tab/>
      </w:r>
      <w:r>
        <w:rPr>
          <w:rFonts w:ascii="Times New Roman" w:cs="Times New Roman" w:eastAsia="Times New Roman" w:hAnsi="Times New Roman"/>
          <w:sz w:val="21"/>
          <w:szCs w:val="21"/>
          <w:color w:val="FF0000"/>
          <w:strike w:val="1"/>
        </w:rPr>
        <w:t>118</w:t>
      </w:r>
      <w:r>
        <w:rPr>
          <w:rFonts w:ascii="Times New Roman" w:cs="Times New Roman" w:eastAsia="Times New Roman" w:hAnsi="Times New Roman"/>
          <w:sz w:val="21"/>
          <w:szCs w:val="21"/>
          <w:u w:val="single" w:color="auto"/>
          <w:color w:val="0000FF"/>
          <w:strike w:val="1"/>
        </w:rPr>
        <w:t>123</w:t>
      </w:r>
    </w:p>
    <w:p>
      <w:pPr>
        <w:sectPr>
          <w:pgSz w:w="11900" w:h="16838" w:orient="portrait"/>
          <w:cols w:equalWidth="0" w:num="1">
            <w:col w:w="10139"/>
          </w:cols>
          <w:pgMar w:left="320" w:top="1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139"/>
          </w:cols>
          <w:pgMar w:left="320" w:top="1179" w:right="1440" w:bottom="1440" w:gutter="0" w:footer="0" w:header="0"/>
          <w:type w:val="continuous"/>
        </w:sectPr>
      </w:pPr>
    </w:p>
    <w:bookmarkStart w:id="26" w:name="page27"/>
    <w:bookmarkEnd w:id="26"/>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6.15</w:t>
        <w:tab/>
        <w:t>No Affected Financial Institution</w:t>
      </w:r>
      <w:r>
        <w:rPr>
          <w:sz w:val="20"/>
          <w:szCs w:val="20"/>
          <w:color w:val="auto"/>
        </w:rPr>
        <w:tab/>
      </w:r>
      <w:r>
        <w:rPr>
          <w:rFonts w:ascii="Times New Roman" w:cs="Times New Roman" w:eastAsia="Times New Roman" w:hAnsi="Times New Roman"/>
          <w:sz w:val="21"/>
          <w:szCs w:val="21"/>
          <w:color w:val="FF0000"/>
          <w:strike w:val="1"/>
        </w:rPr>
        <w:t>119</w:t>
      </w:r>
      <w:r>
        <w:rPr>
          <w:rFonts w:ascii="Times New Roman" w:cs="Times New Roman" w:eastAsia="Times New Roman" w:hAnsi="Times New Roman"/>
          <w:sz w:val="21"/>
          <w:szCs w:val="21"/>
          <w:u w:val="single" w:color="auto"/>
          <w:color w:val="0000FF"/>
          <w:strike w:val="1"/>
        </w:rPr>
        <w:t>123</w:t>
      </w:r>
    </w:p>
    <w:p>
      <w:pPr>
        <w:spacing w:after="0" w:line="28"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6.16</w:t>
        <w:tab/>
        <w:t>ERISA Compliance</w:t>
      </w:r>
      <w:r>
        <w:rPr>
          <w:sz w:val="20"/>
          <w:szCs w:val="20"/>
          <w:color w:val="auto"/>
        </w:rPr>
        <w:tab/>
      </w:r>
      <w:r>
        <w:rPr>
          <w:rFonts w:ascii="Times New Roman" w:cs="Times New Roman" w:eastAsia="Times New Roman" w:hAnsi="Times New Roman"/>
          <w:sz w:val="21"/>
          <w:szCs w:val="21"/>
          <w:color w:val="FF0000"/>
          <w:strike w:val="1"/>
        </w:rPr>
        <w:t>119</w:t>
      </w:r>
      <w:r>
        <w:rPr>
          <w:rFonts w:ascii="Times New Roman" w:cs="Times New Roman" w:eastAsia="Times New Roman" w:hAnsi="Times New Roman"/>
          <w:sz w:val="21"/>
          <w:szCs w:val="21"/>
          <w:u w:val="single" w:color="auto"/>
          <w:color w:val="0000FF"/>
          <w:strike w:val="1"/>
        </w:rPr>
        <w:t>123</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6.17</w:t>
        <w:tab/>
        <w:t>Solvency</w:t>
      </w:r>
      <w:r>
        <w:rPr>
          <w:sz w:val="20"/>
          <w:szCs w:val="20"/>
          <w:color w:val="auto"/>
        </w:rPr>
        <w:tab/>
      </w:r>
      <w:r>
        <w:rPr>
          <w:rFonts w:ascii="Times New Roman" w:cs="Times New Roman" w:eastAsia="Times New Roman" w:hAnsi="Times New Roman"/>
          <w:sz w:val="21"/>
          <w:szCs w:val="21"/>
          <w:color w:val="FF0000"/>
          <w:strike w:val="1"/>
        </w:rPr>
        <w:t>119</w:t>
      </w:r>
      <w:r>
        <w:rPr>
          <w:rFonts w:ascii="Times New Roman" w:cs="Times New Roman" w:eastAsia="Times New Roman" w:hAnsi="Times New Roman"/>
          <w:sz w:val="21"/>
          <w:szCs w:val="21"/>
          <w:u w:val="single" w:color="auto"/>
          <w:color w:val="0000FF"/>
          <w:strike w:val="1"/>
        </w:rPr>
        <w:t>123</w:t>
      </w:r>
    </w:p>
    <w:p>
      <w:pPr>
        <w:spacing w:after="0" w:line="5"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6.18</w:t>
        <w:tab/>
        <w:t>Casualty, Etc</w:t>
      </w:r>
      <w:r>
        <w:rPr>
          <w:sz w:val="20"/>
          <w:szCs w:val="20"/>
          <w:color w:val="auto"/>
        </w:rPr>
        <w:tab/>
      </w:r>
      <w:r>
        <w:rPr>
          <w:rFonts w:ascii="Times New Roman" w:cs="Times New Roman" w:eastAsia="Times New Roman" w:hAnsi="Times New Roman"/>
          <w:sz w:val="21"/>
          <w:szCs w:val="21"/>
          <w:color w:val="FF0000"/>
          <w:strike w:val="1"/>
        </w:rPr>
        <w:t>119</w:t>
      </w:r>
      <w:r>
        <w:rPr>
          <w:rFonts w:ascii="Times New Roman" w:cs="Times New Roman" w:eastAsia="Times New Roman" w:hAnsi="Times New Roman"/>
          <w:sz w:val="21"/>
          <w:szCs w:val="21"/>
          <w:u w:val="single" w:color="auto"/>
          <w:color w:val="0000FF"/>
          <w:strike w:val="1"/>
        </w:rPr>
        <w:t>123</w:t>
      </w:r>
    </w:p>
    <w:p>
      <w:pPr>
        <w:spacing w:after="0" w:line="15" w:lineRule="exact"/>
        <w:rPr>
          <w:sz w:val="20"/>
          <w:szCs w:val="20"/>
          <w:color w:val="auto"/>
        </w:rPr>
      </w:pPr>
    </w:p>
    <w:p>
      <w:pPr>
        <w:ind w:left="760"/>
        <w:spacing w:after="0"/>
        <w:tabs>
          <w:tab w:leader="none" w:pos="2060" w:val="left"/>
          <w:tab w:leader="dot" w:pos="8220" w:val="left"/>
        </w:tabs>
        <w:rPr>
          <w:sz w:val="20"/>
          <w:szCs w:val="20"/>
          <w:color w:val="auto"/>
        </w:rPr>
      </w:pPr>
      <w:r>
        <w:rPr>
          <w:rFonts w:ascii="Times New Roman" w:cs="Times New Roman" w:eastAsia="Times New Roman" w:hAnsi="Times New Roman"/>
          <w:sz w:val="22"/>
          <w:szCs w:val="22"/>
          <w:color w:val="0000FF"/>
        </w:rPr>
        <w:t>Section 6.19</w:t>
        <w:tab/>
        <w:t>Collateral Documents</w:t>
      </w:r>
      <w:r>
        <w:rPr>
          <w:sz w:val="20"/>
          <w:szCs w:val="20"/>
          <w:color w:val="auto"/>
        </w:rPr>
        <w:tab/>
      </w:r>
      <w:r>
        <w:rPr>
          <w:rFonts w:ascii="Times New Roman" w:cs="Times New Roman" w:eastAsia="Times New Roman" w:hAnsi="Times New Roman"/>
          <w:sz w:val="21"/>
          <w:szCs w:val="21"/>
          <w:color w:val="FF0000"/>
          <w:strike w:val="1"/>
        </w:rPr>
        <w:t>119</w:t>
      </w:r>
      <w:r>
        <w:rPr>
          <w:rFonts w:ascii="Times New Roman" w:cs="Times New Roman" w:eastAsia="Times New Roman" w:hAnsi="Times New Roman"/>
          <w:sz w:val="21"/>
          <w:szCs w:val="21"/>
          <w:u w:val="single" w:color="auto"/>
          <w:color w:val="0000FF"/>
          <w:strike w:val="1"/>
        </w:rPr>
        <w:t>124</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6.20</w:t>
        <w:tab/>
        <w:t>Environmental Compliance</w:t>
      </w:r>
      <w:r>
        <w:rPr>
          <w:sz w:val="20"/>
          <w:szCs w:val="20"/>
          <w:color w:val="auto"/>
        </w:rPr>
        <w:tab/>
      </w:r>
      <w:r>
        <w:rPr>
          <w:rFonts w:ascii="Times New Roman" w:cs="Times New Roman" w:eastAsia="Times New Roman" w:hAnsi="Times New Roman"/>
          <w:sz w:val="21"/>
          <w:szCs w:val="21"/>
          <w:color w:val="FF0000"/>
          <w:strike w:val="1"/>
        </w:rPr>
        <w:t>120</w:t>
      </w:r>
      <w:r>
        <w:rPr>
          <w:rFonts w:ascii="Times New Roman" w:cs="Times New Roman" w:eastAsia="Times New Roman" w:hAnsi="Times New Roman"/>
          <w:sz w:val="21"/>
          <w:szCs w:val="21"/>
          <w:u w:val="single" w:color="auto"/>
          <w:color w:val="0000FF"/>
          <w:strike w:val="1"/>
        </w:rPr>
        <w:t>124</w:t>
      </w:r>
    </w:p>
    <w:p>
      <w:pPr>
        <w:spacing w:after="0" w:line="19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0000FF"/>
        </w:rPr>
        <w:t>ARTICLE VII</w:t>
      </w:r>
    </w:p>
    <w:p>
      <w:pPr>
        <w:spacing w:after="0" w:line="26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COVENANTS OF THE LOAN PARTIES</w:t>
      </w:r>
    </w:p>
    <w:p>
      <w:pPr>
        <w:spacing w:after="0" w:line="237"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7.01</w:t>
        <w:tab/>
        <w:t>Financial Statements and Other Information</w:t>
      </w:r>
      <w:r>
        <w:rPr>
          <w:sz w:val="20"/>
          <w:szCs w:val="20"/>
          <w:color w:val="auto"/>
        </w:rPr>
        <w:tab/>
      </w:r>
      <w:r>
        <w:rPr>
          <w:rFonts w:ascii="Times New Roman" w:cs="Times New Roman" w:eastAsia="Times New Roman" w:hAnsi="Times New Roman"/>
          <w:sz w:val="21"/>
          <w:szCs w:val="21"/>
          <w:color w:val="FF0000"/>
          <w:strike w:val="1"/>
        </w:rPr>
        <w:t>121</w:t>
      </w:r>
      <w:r>
        <w:rPr>
          <w:rFonts w:ascii="Times New Roman" w:cs="Times New Roman" w:eastAsia="Times New Roman" w:hAnsi="Times New Roman"/>
          <w:sz w:val="21"/>
          <w:szCs w:val="21"/>
          <w:u w:val="single" w:color="auto"/>
          <w:color w:val="0000FF"/>
          <w:strike w:val="1"/>
        </w:rPr>
        <w:t>125</w:t>
      </w:r>
    </w:p>
    <w:p>
      <w:pPr>
        <w:spacing w:after="0" w:line="28"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7.02</w:t>
        <w:tab/>
        <w:t>Taxes and Claims</w:t>
      </w:r>
      <w:r>
        <w:rPr>
          <w:sz w:val="20"/>
          <w:szCs w:val="20"/>
          <w:color w:val="auto"/>
        </w:rPr>
        <w:tab/>
      </w:r>
      <w:r>
        <w:rPr>
          <w:rFonts w:ascii="Times New Roman" w:cs="Times New Roman" w:eastAsia="Times New Roman" w:hAnsi="Times New Roman"/>
          <w:sz w:val="21"/>
          <w:szCs w:val="21"/>
          <w:color w:val="FF0000"/>
          <w:strike w:val="1"/>
        </w:rPr>
        <w:t>124</w:t>
      </w:r>
      <w:r>
        <w:rPr>
          <w:rFonts w:ascii="Times New Roman" w:cs="Times New Roman" w:eastAsia="Times New Roman" w:hAnsi="Times New Roman"/>
          <w:sz w:val="21"/>
          <w:szCs w:val="21"/>
          <w:u w:val="single" w:color="auto"/>
          <w:color w:val="0000FF"/>
          <w:strike w:val="1"/>
        </w:rPr>
        <w:t>128</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7.03</w:t>
        <w:tab/>
        <w:t>Insurance</w:t>
      </w:r>
      <w:r>
        <w:rPr>
          <w:sz w:val="20"/>
          <w:szCs w:val="20"/>
          <w:color w:val="auto"/>
        </w:rPr>
        <w:tab/>
      </w:r>
      <w:r>
        <w:rPr>
          <w:rFonts w:ascii="Times New Roman" w:cs="Times New Roman" w:eastAsia="Times New Roman" w:hAnsi="Times New Roman"/>
          <w:sz w:val="21"/>
          <w:szCs w:val="21"/>
          <w:color w:val="FF0000"/>
          <w:strike w:val="1"/>
        </w:rPr>
        <w:t>124</w:t>
      </w:r>
      <w:r>
        <w:rPr>
          <w:rFonts w:ascii="Times New Roman" w:cs="Times New Roman" w:eastAsia="Times New Roman" w:hAnsi="Times New Roman"/>
          <w:sz w:val="21"/>
          <w:szCs w:val="21"/>
          <w:u w:val="single" w:color="auto"/>
          <w:color w:val="0000FF"/>
          <w:strike w:val="1"/>
        </w:rPr>
        <w:t>128</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7.04</w:t>
        <w:tab/>
        <w:t>Maintenance of Existence; Conduct of Business</w:t>
      </w:r>
      <w:r>
        <w:rPr>
          <w:sz w:val="20"/>
          <w:szCs w:val="20"/>
          <w:color w:val="auto"/>
        </w:rPr>
        <w:tab/>
      </w:r>
      <w:r>
        <w:rPr>
          <w:rFonts w:ascii="Times New Roman" w:cs="Times New Roman" w:eastAsia="Times New Roman" w:hAnsi="Times New Roman"/>
          <w:sz w:val="21"/>
          <w:szCs w:val="21"/>
          <w:color w:val="FF0000"/>
          <w:strike w:val="1"/>
        </w:rPr>
        <w:t>124</w:t>
      </w:r>
      <w:r>
        <w:rPr>
          <w:rFonts w:ascii="Times New Roman" w:cs="Times New Roman" w:eastAsia="Times New Roman" w:hAnsi="Times New Roman"/>
          <w:sz w:val="21"/>
          <w:szCs w:val="21"/>
          <w:u w:val="single" w:color="auto"/>
          <w:color w:val="0000FF"/>
          <w:strike w:val="1"/>
        </w:rPr>
        <w:t>128</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7.05</w:t>
        <w:tab/>
        <w:t>Maintenance of and Access to Properties</w:t>
      </w:r>
      <w:r>
        <w:rPr>
          <w:sz w:val="20"/>
          <w:szCs w:val="20"/>
          <w:color w:val="auto"/>
        </w:rPr>
        <w:tab/>
      </w:r>
      <w:r>
        <w:rPr>
          <w:rFonts w:ascii="Times New Roman" w:cs="Times New Roman" w:eastAsia="Times New Roman" w:hAnsi="Times New Roman"/>
          <w:sz w:val="21"/>
          <w:szCs w:val="21"/>
          <w:color w:val="FF0000"/>
          <w:strike w:val="1"/>
        </w:rPr>
        <w:t>124</w:t>
      </w:r>
      <w:r>
        <w:rPr>
          <w:rFonts w:ascii="Times New Roman" w:cs="Times New Roman" w:eastAsia="Times New Roman" w:hAnsi="Times New Roman"/>
          <w:sz w:val="21"/>
          <w:szCs w:val="21"/>
          <w:u w:val="single" w:color="auto"/>
          <w:color w:val="0000FF"/>
          <w:strike w:val="1"/>
        </w:rPr>
        <w:t>128</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7.06</w:t>
        <w:tab/>
        <w:t>Compliance with Applicable Laws</w:t>
      </w:r>
      <w:r>
        <w:rPr>
          <w:sz w:val="20"/>
          <w:szCs w:val="20"/>
          <w:color w:val="auto"/>
        </w:rPr>
        <w:tab/>
      </w:r>
      <w:r>
        <w:rPr>
          <w:rFonts w:ascii="Times New Roman" w:cs="Times New Roman" w:eastAsia="Times New Roman" w:hAnsi="Times New Roman"/>
          <w:sz w:val="21"/>
          <w:szCs w:val="21"/>
          <w:color w:val="FF0000"/>
          <w:strike w:val="1"/>
        </w:rPr>
        <w:t>125</w:t>
      </w:r>
      <w:r>
        <w:rPr>
          <w:rFonts w:ascii="Times New Roman" w:cs="Times New Roman" w:eastAsia="Times New Roman" w:hAnsi="Times New Roman"/>
          <w:sz w:val="21"/>
          <w:szCs w:val="21"/>
          <w:u w:val="single" w:color="auto"/>
          <w:color w:val="0000FF"/>
          <w:strike w:val="1"/>
        </w:rPr>
        <w:t>129</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7.07</w:t>
        <w:tab/>
        <w:t>Litigation</w:t>
      </w:r>
      <w:r>
        <w:rPr>
          <w:sz w:val="20"/>
          <w:szCs w:val="20"/>
          <w:color w:val="auto"/>
        </w:rPr>
        <w:tab/>
      </w:r>
      <w:r>
        <w:rPr>
          <w:rFonts w:ascii="Times New Roman" w:cs="Times New Roman" w:eastAsia="Times New Roman" w:hAnsi="Times New Roman"/>
          <w:sz w:val="21"/>
          <w:szCs w:val="21"/>
          <w:color w:val="FF0000"/>
          <w:strike w:val="1"/>
        </w:rPr>
        <w:t>125</w:t>
      </w:r>
      <w:r>
        <w:rPr>
          <w:rFonts w:ascii="Times New Roman" w:cs="Times New Roman" w:eastAsia="Times New Roman" w:hAnsi="Times New Roman"/>
          <w:sz w:val="21"/>
          <w:szCs w:val="21"/>
          <w:u w:val="single" w:color="auto"/>
          <w:color w:val="0000FF"/>
          <w:strike w:val="1"/>
        </w:rPr>
        <w:t>129</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7.08</w:t>
        <w:tab/>
        <w:t>Subsidiaries</w:t>
      </w:r>
      <w:r>
        <w:rPr>
          <w:sz w:val="20"/>
          <w:szCs w:val="20"/>
          <w:color w:val="auto"/>
        </w:rPr>
        <w:tab/>
      </w:r>
      <w:r>
        <w:rPr>
          <w:rFonts w:ascii="Times New Roman" w:cs="Times New Roman" w:eastAsia="Times New Roman" w:hAnsi="Times New Roman"/>
          <w:sz w:val="21"/>
          <w:szCs w:val="21"/>
          <w:color w:val="FF0000"/>
          <w:strike w:val="1"/>
        </w:rPr>
        <w:t>125</w:t>
      </w:r>
      <w:r>
        <w:rPr>
          <w:rFonts w:ascii="Times New Roman" w:cs="Times New Roman" w:eastAsia="Times New Roman" w:hAnsi="Times New Roman"/>
          <w:sz w:val="21"/>
          <w:szCs w:val="21"/>
          <w:u w:val="single" w:color="auto"/>
          <w:color w:val="0000FF"/>
          <w:strike w:val="1"/>
        </w:rPr>
        <w:t>129</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7.09</w:t>
        <w:tab/>
        <w:t>Books and Records</w:t>
      </w:r>
      <w:r>
        <w:rPr>
          <w:sz w:val="20"/>
          <w:szCs w:val="20"/>
          <w:color w:val="auto"/>
        </w:rPr>
        <w:tab/>
      </w:r>
      <w:r>
        <w:rPr>
          <w:rFonts w:ascii="Times New Roman" w:cs="Times New Roman" w:eastAsia="Times New Roman" w:hAnsi="Times New Roman"/>
          <w:sz w:val="21"/>
          <w:szCs w:val="21"/>
          <w:color w:val="FF0000"/>
          <w:strike w:val="1"/>
        </w:rPr>
        <w:t>126</w:t>
      </w:r>
      <w:r>
        <w:rPr>
          <w:rFonts w:ascii="Times New Roman" w:cs="Times New Roman" w:eastAsia="Times New Roman" w:hAnsi="Times New Roman"/>
          <w:sz w:val="21"/>
          <w:szCs w:val="21"/>
          <w:u w:val="single" w:color="auto"/>
          <w:color w:val="0000FF"/>
          <w:strike w:val="1"/>
        </w:rPr>
        <w:t>130</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7.10</w:t>
        <w:tab/>
        <w:t>Use of Proceeds</w:t>
      </w:r>
      <w:r>
        <w:rPr>
          <w:sz w:val="20"/>
          <w:szCs w:val="20"/>
          <w:color w:val="auto"/>
        </w:rPr>
        <w:tab/>
      </w:r>
      <w:r>
        <w:rPr>
          <w:rFonts w:ascii="Times New Roman" w:cs="Times New Roman" w:eastAsia="Times New Roman" w:hAnsi="Times New Roman"/>
          <w:sz w:val="21"/>
          <w:szCs w:val="21"/>
          <w:color w:val="FF0000"/>
          <w:strike w:val="1"/>
        </w:rPr>
        <w:t>126</w:t>
      </w:r>
      <w:r>
        <w:rPr>
          <w:rFonts w:ascii="Times New Roman" w:cs="Times New Roman" w:eastAsia="Times New Roman" w:hAnsi="Times New Roman"/>
          <w:sz w:val="21"/>
          <w:szCs w:val="21"/>
          <w:u w:val="single" w:color="auto"/>
          <w:color w:val="0000FF"/>
          <w:strike w:val="1"/>
        </w:rPr>
        <w:t>131</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7.11</w:t>
        <w:tab/>
        <w:t>Covenant to Guarantee Obligations and Give Security</w:t>
      </w:r>
      <w:r>
        <w:rPr>
          <w:sz w:val="20"/>
          <w:szCs w:val="20"/>
          <w:color w:val="auto"/>
        </w:rPr>
        <w:tab/>
      </w:r>
      <w:r>
        <w:rPr>
          <w:rFonts w:ascii="Times New Roman" w:cs="Times New Roman" w:eastAsia="Times New Roman" w:hAnsi="Times New Roman"/>
          <w:sz w:val="21"/>
          <w:szCs w:val="21"/>
          <w:color w:val="FF0000"/>
          <w:strike w:val="1"/>
        </w:rPr>
        <w:t>127</w:t>
      </w:r>
      <w:r>
        <w:rPr>
          <w:rFonts w:ascii="Times New Roman" w:cs="Times New Roman" w:eastAsia="Times New Roman" w:hAnsi="Times New Roman"/>
          <w:sz w:val="21"/>
          <w:szCs w:val="21"/>
          <w:u w:val="single" w:color="auto"/>
          <w:color w:val="0000FF"/>
          <w:strike w:val="1"/>
        </w:rPr>
        <w:t>131</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7.12</w:t>
        <w:tab/>
        <w:t>Further Assurances</w:t>
      </w:r>
      <w:r>
        <w:rPr>
          <w:sz w:val="20"/>
          <w:szCs w:val="20"/>
          <w:color w:val="auto"/>
        </w:rPr>
        <w:tab/>
      </w:r>
      <w:r>
        <w:rPr>
          <w:rFonts w:ascii="Times New Roman" w:cs="Times New Roman" w:eastAsia="Times New Roman" w:hAnsi="Times New Roman"/>
          <w:sz w:val="21"/>
          <w:szCs w:val="21"/>
          <w:color w:val="FF0000"/>
          <w:strike w:val="1"/>
        </w:rPr>
        <w:t>128</w:t>
      </w:r>
      <w:r>
        <w:rPr>
          <w:rFonts w:ascii="Times New Roman" w:cs="Times New Roman" w:eastAsia="Times New Roman" w:hAnsi="Times New Roman"/>
          <w:sz w:val="21"/>
          <w:szCs w:val="21"/>
          <w:u w:val="single" w:color="auto"/>
          <w:color w:val="0000FF"/>
          <w:strike w:val="1"/>
        </w:rPr>
        <w:t>132</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7.13</w:t>
        <w:tab/>
        <w:t>Designation as Senior Debt</w:t>
      </w:r>
      <w:r>
        <w:rPr>
          <w:sz w:val="20"/>
          <w:szCs w:val="20"/>
          <w:color w:val="auto"/>
        </w:rPr>
        <w:tab/>
      </w:r>
      <w:r>
        <w:rPr>
          <w:rFonts w:ascii="Times New Roman" w:cs="Times New Roman" w:eastAsia="Times New Roman" w:hAnsi="Times New Roman"/>
          <w:sz w:val="21"/>
          <w:szCs w:val="21"/>
          <w:color w:val="FF0000"/>
          <w:strike w:val="1"/>
        </w:rPr>
        <w:t>129</w:t>
      </w:r>
      <w:r>
        <w:rPr>
          <w:rFonts w:ascii="Times New Roman" w:cs="Times New Roman" w:eastAsia="Times New Roman" w:hAnsi="Times New Roman"/>
          <w:sz w:val="21"/>
          <w:szCs w:val="21"/>
          <w:u w:val="single" w:color="auto"/>
          <w:color w:val="0000FF"/>
          <w:strike w:val="1"/>
        </w:rPr>
        <w:t>133</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7.14</w:t>
        <w:tab/>
        <w:t>Maintenance of Ratings</w:t>
      </w:r>
      <w:r>
        <w:rPr>
          <w:sz w:val="20"/>
          <w:szCs w:val="20"/>
          <w:color w:val="auto"/>
        </w:rPr>
        <w:tab/>
      </w:r>
      <w:r>
        <w:rPr>
          <w:rFonts w:ascii="Times New Roman" w:cs="Times New Roman" w:eastAsia="Times New Roman" w:hAnsi="Times New Roman"/>
          <w:sz w:val="21"/>
          <w:szCs w:val="21"/>
          <w:color w:val="FF0000"/>
          <w:strike w:val="1"/>
        </w:rPr>
        <w:t>129</w:t>
      </w:r>
      <w:r>
        <w:rPr>
          <w:rFonts w:ascii="Times New Roman" w:cs="Times New Roman" w:eastAsia="Times New Roman" w:hAnsi="Times New Roman"/>
          <w:sz w:val="21"/>
          <w:szCs w:val="21"/>
          <w:u w:val="single" w:color="auto"/>
          <w:color w:val="0000FF"/>
          <w:strike w:val="1"/>
        </w:rPr>
        <w:t>133</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7.15</w:t>
        <w:tab/>
        <w:t>Indebtedness</w:t>
      </w:r>
      <w:r>
        <w:rPr>
          <w:sz w:val="20"/>
          <w:szCs w:val="20"/>
          <w:color w:val="auto"/>
        </w:rPr>
        <w:tab/>
      </w:r>
      <w:r>
        <w:rPr>
          <w:rFonts w:ascii="Times New Roman" w:cs="Times New Roman" w:eastAsia="Times New Roman" w:hAnsi="Times New Roman"/>
          <w:sz w:val="21"/>
          <w:szCs w:val="21"/>
          <w:color w:val="FF0000"/>
          <w:strike w:val="1"/>
        </w:rPr>
        <w:t>129</w:t>
      </w:r>
      <w:r>
        <w:rPr>
          <w:rFonts w:ascii="Times New Roman" w:cs="Times New Roman" w:eastAsia="Times New Roman" w:hAnsi="Times New Roman"/>
          <w:sz w:val="21"/>
          <w:szCs w:val="21"/>
          <w:u w:val="single" w:color="auto"/>
          <w:color w:val="0000FF"/>
          <w:strike w:val="1"/>
        </w:rPr>
        <w:t>133</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7.16</w:t>
        <w:tab/>
        <w:t>Contingent Liabilities</w:t>
      </w:r>
      <w:r>
        <w:rPr>
          <w:sz w:val="20"/>
          <w:szCs w:val="20"/>
          <w:color w:val="auto"/>
        </w:rPr>
        <w:tab/>
      </w:r>
      <w:r>
        <w:rPr>
          <w:rFonts w:ascii="Times New Roman" w:cs="Times New Roman" w:eastAsia="Times New Roman" w:hAnsi="Times New Roman"/>
          <w:sz w:val="21"/>
          <w:szCs w:val="21"/>
          <w:color w:val="FF0000"/>
          <w:strike w:val="1"/>
        </w:rPr>
        <w:t>132</w:t>
      </w:r>
      <w:r>
        <w:rPr>
          <w:rFonts w:ascii="Times New Roman" w:cs="Times New Roman" w:eastAsia="Times New Roman" w:hAnsi="Times New Roman"/>
          <w:sz w:val="21"/>
          <w:szCs w:val="21"/>
          <w:u w:val="single" w:color="auto"/>
          <w:color w:val="0000FF"/>
          <w:strike w:val="1"/>
        </w:rPr>
        <w:t>136</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7.17</w:t>
        <w:tab/>
        <w:t>Liens</w:t>
      </w:r>
      <w:r>
        <w:rPr>
          <w:sz w:val="20"/>
          <w:szCs w:val="20"/>
          <w:color w:val="auto"/>
        </w:rPr>
        <w:tab/>
      </w:r>
      <w:r>
        <w:rPr>
          <w:rFonts w:ascii="Times New Roman" w:cs="Times New Roman" w:eastAsia="Times New Roman" w:hAnsi="Times New Roman"/>
          <w:sz w:val="21"/>
          <w:szCs w:val="21"/>
          <w:color w:val="FF0000"/>
          <w:strike w:val="1"/>
        </w:rPr>
        <w:t>135</w:t>
      </w:r>
      <w:r>
        <w:rPr>
          <w:rFonts w:ascii="Times New Roman" w:cs="Times New Roman" w:eastAsia="Times New Roman" w:hAnsi="Times New Roman"/>
          <w:sz w:val="21"/>
          <w:szCs w:val="21"/>
          <w:u w:val="single" w:color="auto"/>
          <w:color w:val="0000FF"/>
          <w:strike w:val="1"/>
        </w:rPr>
        <w:t>139</w:t>
      </w:r>
    </w:p>
    <w:p>
      <w:pPr>
        <w:spacing w:after="0" w:line="15"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7.18</w:t>
        <w:tab/>
        <w:t>Investments</w:t>
      </w:r>
      <w:r>
        <w:rPr>
          <w:sz w:val="20"/>
          <w:szCs w:val="20"/>
          <w:color w:val="auto"/>
        </w:rPr>
        <w:tab/>
      </w:r>
      <w:r>
        <w:rPr>
          <w:rFonts w:ascii="Times New Roman" w:cs="Times New Roman" w:eastAsia="Times New Roman" w:hAnsi="Times New Roman"/>
          <w:sz w:val="21"/>
          <w:szCs w:val="21"/>
          <w:color w:val="FF0000"/>
          <w:strike w:val="1"/>
        </w:rPr>
        <w:t>137</w:t>
      </w:r>
      <w:r>
        <w:rPr>
          <w:rFonts w:ascii="Times New Roman" w:cs="Times New Roman" w:eastAsia="Times New Roman" w:hAnsi="Times New Roman"/>
          <w:sz w:val="21"/>
          <w:szCs w:val="21"/>
          <w:u w:val="single" w:color="auto"/>
          <w:color w:val="0000FF"/>
          <w:strike w:val="1"/>
        </w:rPr>
        <w:t>141</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7.19</w:t>
        <w:tab/>
        <w:t>Restricted Payments</w:t>
      </w:r>
      <w:r>
        <w:rPr>
          <w:sz w:val="20"/>
          <w:szCs w:val="20"/>
          <w:color w:val="auto"/>
        </w:rPr>
        <w:tab/>
      </w:r>
      <w:r>
        <w:rPr>
          <w:rFonts w:ascii="Times New Roman" w:cs="Times New Roman" w:eastAsia="Times New Roman" w:hAnsi="Times New Roman"/>
          <w:sz w:val="21"/>
          <w:szCs w:val="21"/>
          <w:color w:val="FF0000"/>
          <w:strike w:val="1"/>
        </w:rPr>
        <w:t>140</w:t>
      </w:r>
      <w:r>
        <w:rPr>
          <w:rFonts w:ascii="Times New Roman" w:cs="Times New Roman" w:eastAsia="Times New Roman" w:hAnsi="Times New Roman"/>
          <w:sz w:val="21"/>
          <w:szCs w:val="21"/>
          <w:u w:val="single" w:color="auto"/>
          <w:color w:val="0000FF"/>
          <w:strike w:val="1"/>
        </w:rPr>
        <w:t>144</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7.20</w:t>
        <w:tab/>
        <w:t>Transactions with Affiliates</w:t>
      </w:r>
      <w:r>
        <w:rPr>
          <w:sz w:val="20"/>
          <w:szCs w:val="20"/>
          <w:color w:val="auto"/>
        </w:rPr>
        <w:tab/>
      </w:r>
      <w:r>
        <w:rPr>
          <w:rFonts w:ascii="Times New Roman" w:cs="Times New Roman" w:eastAsia="Times New Roman" w:hAnsi="Times New Roman"/>
          <w:sz w:val="21"/>
          <w:szCs w:val="21"/>
          <w:color w:val="FF0000"/>
          <w:strike w:val="1"/>
        </w:rPr>
        <w:t>141</w:t>
      </w:r>
      <w:r>
        <w:rPr>
          <w:rFonts w:ascii="Times New Roman" w:cs="Times New Roman" w:eastAsia="Times New Roman" w:hAnsi="Times New Roman"/>
          <w:sz w:val="21"/>
          <w:szCs w:val="21"/>
          <w:u w:val="single" w:color="auto"/>
          <w:color w:val="0000FF"/>
          <w:strike w:val="1"/>
        </w:rPr>
        <w:t>145</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7.21</w:t>
        <w:tab/>
        <w:t>Amendments of Certain Instruments</w:t>
      </w:r>
      <w:r>
        <w:rPr>
          <w:sz w:val="20"/>
          <w:szCs w:val="20"/>
          <w:color w:val="auto"/>
        </w:rPr>
        <w:tab/>
      </w:r>
      <w:r>
        <w:rPr>
          <w:rFonts w:ascii="Times New Roman" w:cs="Times New Roman" w:eastAsia="Times New Roman" w:hAnsi="Times New Roman"/>
          <w:sz w:val="21"/>
          <w:szCs w:val="21"/>
          <w:color w:val="FF0000"/>
          <w:strike w:val="1"/>
        </w:rPr>
        <w:t>141</w:t>
      </w:r>
      <w:r>
        <w:rPr>
          <w:rFonts w:ascii="Times New Roman" w:cs="Times New Roman" w:eastAsia="Times New Roman" w:hAnsi="Times New Roman"/>
          <w:sz w:val="21"/>
          <w:szCs w:val="21"/>
          <w:u w:val="single" w:color="auto"/>
          <w:color w:val="0000FF"/>
          <w:strike w:val="1"/>
        </w:rPr>
        <w:t>146</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7.22</w:t>
        <w:tab/>
        <w:t>Change in Nature of Business</w:t>
      </w:r>
      <w:r>
        <w:rPr>
          <w:sz w:val="20"/>
          <w:szCs w:val="20"/>
          <w:color w:val="auto"/>
        </w:rPr>
        <w:tab/>
      </w:r>
      <w:r>
        <w:rPr>
          <w:rFonts w:ascii="Times New Roman" w:cs="Times New Roman" w:eastAsia="Times New Roman" w:hAnsi="Times New Roman"/>
          <w:sz w:val="21"/>
          <w:szCs w:val="21"/>
          <w:color w:val="FF0000"/>
          <w:strike w:val="1"/>
        </w:rPr>
        <w:t>142</w:t>
      </w:r>
      <w:r>
        <w:rPr>
          <w:rFonts w:ascii="Times New Roman" w:cs="Times New Roman" w:eastAsia="Times New Roman" w:hAnsi="Times New Roman"/>
          <w:sz w:val="21"/>
          <w:szCs w:val="21"/>
          <w:u w:val="single" w:color="auto"/>
          <w:color w:val="0000FF"/>
          <w:strike w:val="1"/>
        </w:rPr>
        <w:t>146</w:t>
      </w:r>
    </w:p>
    <w:p>
      <w:pPr>
        <w:spacing w:after="0" w:line="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7.23</w:t>
        <w:tab/>
        <w:t>Fundamental Changes</w:t>
      </w:r>
      <w:r>
        <w:rPr>
          <w:sz w:val="20"/>
          <w:szCs w:val="20"/>
          <w:color w:val="auto"/>
        </w:rPr>
        <w:tab/>
      </w:r>
      <w:r>
        <w:rPr>
          <w:rFonts w:ascii="Times New Roman" w:cs="Times New Roman" w:eastAsia="Times New Roman" w:hAnsi="Times New Roman"/>
          <w:sz w:val="21"/>
          <w:szCs w:val="21"/>
          <w:color w:val="FF0000"/>
          <w:strike w:val="1"/>
        </w:rPr>
        <w:t>142</w:t>
      </w:r>
      <w:r>
        <w:rPr>
          <w:rFonts w:ascii="Times New Roman" w:cs="Times New Roman" w:eastAsia="Times New Roman" w:hAnsi="Times New Roman"/>
          <w:sz w:val="21"/>
          <w:szCs w:val="21"/>
          <w:u w:val="single" w:color="auto"/>
          <w:color w:val="0000FF"/>
          <w:strike w:val="1"/>
        </w:rPr>
        <w:t>146</w:t>
      </w:r>
    </w:p>
    <w:p>
      <w:pPr>
        <w:spacing w:after="0" w:line="15"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7.24</w:t>
        <w:tab/>
        <w:t>Dispositions</w:t>
      </w:r>
      <w:r>
        <w:rPr>
          <w:sz w:val="20"/>
          <w:szCs w:val="20"/>
          <w:color w:val="auto"/>
        </w:rPr>
        <w:tab/>
      </w:r>
      <w:r>
        <w:rPr>
          <w:rFonts w:ascii="Times New Roman" w:cs="Times New Roman" w:eastAsia="Times New Roman" w:hAnsi="Times New Roman"/>
          <w:sz w:val="21"/>
          <w:szCs w:val="21"/>
          <w:color w:val="FF0000"/>
          <w:strike w:val="1"/>
        </w:rPr>
        <w:t>143</w:t>
      </w:r>
      <w:r>
        <w:rPr>
          <w:rFonts w:ascii="Times New Roman" w:cs="Times New Roman" w:eastAsia="Times New Roman" w:hAnsi="Times New Roman"/>
          <w:sz w:val="21"/>
          <w:szCs w:val="21"/>
          <w:u w:val="single" w:color="auto"/>
          <w:color w:val="0000FF"/>
          <w:strike w:val="1"/>
        </w:rPr>
        <w:t>147</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7.25</w:t>
        <w:tab/>
        <w:t>Anti-Corruption Laws and Sanctions</w:t>
      </w:r>
      <w:r>
        <w:rPr>
          <w:sz w:val="20"/>
          <w:szCs w:val="20"/>
          <w:color w:val="auto"/>
        </w:rPr>
        <w:tab/>
      </w:r>
      <w:r>
        <w:rPr>
          <w:rFonts w:ascii="Times New Roman" w:cs="Times New Roman" w:eastAsia="Times New Roman" w:hAnsi="Times New Roman"/>
          <w:sz w:val="21"/>
          <w:szCs w:val="21"/>
          <w:color w:val="FF0000"/>
          <w:strike w:val="1"/>
        </w:rPr>
        <w:t>145</w:t>
      </w:r>
      <w:r>
        <w:rPr>
          <w:rFonts w:ascii="Times New Roman" w:cs="Times New Roman" w:eastAsia="Times New Roman" w:hAnsi="Times New Roman"/>
          <w:sz w:val="21"/>
          <w:szCs w:val="21"/>
          <w:u w:val="single" w:color="auto"/>
          <w:color w:val="0000FF"/>
          <w:strike w:val="1"/>
        </w:rPr>
        <w:t>149</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7.26</w:t>
        <w:tab/>
        <w:t>Adjusted Operating Income to Total Interest Expense</w:t>
      </w:r>
      <w:r>
        <w:rPr>
          <w:sz w:val="20"/>
          <w:szCs w:val="20"/>
          <w:color w:val="auto"/>
        </w:rPr>
        <w:tab/>
      </w:r>
      <w:r>
        <w:rPr>
          <w:rFonts w:ascii="Times New Roman" w:cs="Times New Roman" w:eastAsia="Times New Roman" w:hAnsi="Times New Roman"/>
          <w:sz w:val="21"/>
          <w:szCs w:val="21"/>
          <w:color w:val="FF0000"/>
          <w:strike w:val="1"/>
        </w:rPr>
        <w:t>145</w:t>
      </w:r>
      <w:r>
        <w:rPr>
          <w:rFonts w:ascii="Times New Roman" w:cs="Times New Roman" w:eastAsia="Times New Roman" w:hAnsi="Times New Roman"/>
          <w:sz w:val="21"/>
          <w:szCs w:val="21"/>
          <w:u w:val="single" w:color="auto"/>
          <w:color w:val="0000FF"/>
          <w:strike w:val="1"/>
        </w:rPr>
        <w:t>149</w:t>
      </w:r>
    </w:p>
    <w:p>
      <w:pPr>
        <w:spacing w:after="0" w:line="4"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7.27</w:t>
        <w:tab/>
        <w:t>Cash Flow Ratio</w:t>
      </w:r>
      <w:r>
        <w:rPr>
          <w:sz w:val="20"/>
          <w:szCs w:val="20"/>
          <w:color w:val="auto"/>
        </w:rPr>
        <w:tab/>
      </w:r>
      <w:r>
        <w:rPr>
          <w:rFonts w:ascii="Times New Roman" w:cs="Times New Roman" w:eastAsia="Times New Roman" w:hAnsi="Times New Roman"/>
          <w:sz w:val="21"/>
          <w:szCs w:val="21"/>
          <w:color w:val="FF0000"/>
          <w:strike w:val="1"/>
        </w:rPr>
        <w:t>145</w:t>
      </w:r>
      <w:r>
        <w:rPr>
          <w:rFonts w:ascii="Times New Roman" w:cs="Times New Roman" w:eastAsia="Times New Roman" w:hAnsi="Times New Roman"/>
          <w:sz w:val="21"/>
          <w:szCs w:val="21"/>
          <w:u w:val="single" w:color="auto"/>
          <w:color w:val="0000FF"/>
          <w:strike w:val="1"/>
        </w:rPr>
        <w:t>149</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0000FF"/>
        </w:rPr>
        <w:t>ARTICLE VIII</w:t>
      </w:r>
    </w:p>
    <w:p>
      <w:pPr>
        <w:spacing w:after="0" w:line="26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0000FF"/>
        </w:rPr>
        <w:t>EVENTS OF DEFAULT AND REMEDIES</w:t>
      </w:r>
    </w:p>
    <w:p>
      <w:pPr>
        <w:spacing w:after="0" w:line="22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8.01</w:t>
        <w:tab/>
        <w:t>Events of Default</w:t>
      </w:r>
      <w:r>
        <w:rPr>
          <w:sz w:val="20"/>
          <w:szCs w:val="20"/>
          <w:color w:val="auto"/>
        </w:rPr>
        <w:tab/>
      </w:r>
      <w:r>
        <w:rPr>
          <w:rFonts w:ascii="Times New Roman" w:cs="Times New Roman" w:eastAsia="Times New Roman" w:hAnsi="Times New Roman"/>
          <w:sz w:val="21"/>
          <w:szCs w:val="21"/>
          <w:color w:val="FF0000"/>
          <w:strike w:val="1"/>
        </w:rPr>
        <w:t>146</w:t>
      </w:r>
      <w:r>
        <w:rPr>
          <w:rFonts w:ascii="Times New Roman" w:cs="Times New Roman" w:eastAsia="Times New Roman" w:hAnsi="Times New Roman"/>
          <w:sz w:val="21"/>
          <w:szCs w:val="21"/>
          <w:u w:val="single" w:color="auto"/>
          <w:color w:val="0000FF"/>
          <w:strike w:val="1"/>
        </w:rPr>
        <w:t>150</w:t>
      </w:r>
    </w:p>
    <w:p>
      <w:pPr>
        <w:spacing w:after="0" w:line="28" w:lineRule="exact"/>
        <w:rPr>
          <w:sz w:val="20"/>
          <w:szCs w:val="20"/>
          <w:color w:val="auto"/>
        </w:rPr>
      </w:pPr>
    </w:p>
    <w:p>
      <w:pPr>
        <w:ind w:left="760"/>
        <w:spacing w:after="0"/>
        <w:tabs>
          <w:tab w:leader="none" w:pos="2060" w:val="left"/>
          <w:tab w:leader="dot" w:pos="8200" w:val="left"/>
        </w:tabs>
        <w:rPr>
          <w:sz w:val="20"/>
          <w:szCs w:val="20"/>
          <w:color w:val="auto"/>
        </w:rPr>
      </w:pPr>
      <w:r>
        <w:rPr>
          <w:rFonts w:ascii="Times New Roman" w:cs="Times New Roman" w:eastAsia="Times New Roman" w:hAnsi="Times New Roman"/>
          <w:sz w:val="22"/>
          <w:szCs w:val="22"/>
          <w:color w:val="0000FF"/>
        </w:rPr>
        <w:t>Section 8.02</w:t>
        <w:tab/>
        <w:t>Remedies upon Event of Default</w:t>
      </w:r>
      <w:r>
        <w:rPr>
          <w:sz w:val="20"/>
          <w:szCs w:val="20"/>
          <w:color w:val="auto"/>
        </w:rPr>
        <w:tab/>
      </w:r>
      <w:r>
        <w:rPr>
          <w:rFonts w:ascii="Times New Roman" w:cs="Times New Roman" w:eastAsia="Times New Roman" w:hAnsi="Times New Roman"/>
          <w:sz w:val="21"/>
          <w:szCs w:val="21"/>
          <w:color w:val="FF0000"/>
          <w:strike w:val="1"/>
        </w:rPr>
        <w:t>149</w:t>
      </w:r>
      <w:r>
        <w:rPr>
          <w:rFonts w:ascii="Times New Roman" w:cs="Times New Roman" w:eastAsia="Times New Roman" w:hAnsi="Times New Roman"/>
          <w:sz w:val="21"/>
          <w:szCs w:val="21"/>
          <w:u w:val="single" w:color="auto"/>
          <w:color w:val="0000FF"/>
          <w:strike w:val="1"/>
        </w:rPr>
        <w:t>153</w:t>
      </w:r>
    </w:p>
    <w:p>
      <w:pPr>
        <w:spacing w:after="0" w:line="4" w:lineRule="exact"/>
        <w:rPr>
          <w:sz w:val="20"/>
          <w:szCs w:val="20"/>
          <w:color w:val="auto"/>
        </w:rPr>
      </w:pPr>
    </w:p>
    <w:p>
      <w:pPr>
        <w:ind w:left="780"/>
        <w:spacing w:after="0"/>
        <w:tabs>
          <w:tab w:leader="none" w:pos="2080" w:val="left"/>
          <w:tab w:leader="dot" w:pos="8180" w:val="left"/>
        </w:tabs>
        <w:rPr>
          <w:sz w:val="20"/>
          <w:szCs w:val="20"/>
          <w:color w:val="auto"/>
        </w:rPr>
      </w:pPr>
      <w:r>
        <w:rPr>
          <w:rFonts w:ascii="Times New Roman" w:cs="Times New Roman" w:eastAsia="Times New Roman" w:hAnsi="Times New Roman"/>
          <w:sz w:val="22"/>
          <w:szCs w:val="22"/>
          <w:color w:val="0000FF"/>
        </w:rPr>
        <w:t>Section 8.03</w:t>
        <w:tab/>
        <w:t>Application of Funds</w:t>
      </w:r>
      <w:r>
        <w:rPr>
          <w:sz w:val="20"/>
          <w:szCs w:val="20"/>
          <w:color w:val="auto"/>
        </w:rPr>
        <w:tab/>
      </w:r>
      <w:r>
        <w:rPr>
          <w:rFonts w:ascii="Times New Roman" w:cs="Times New Roman" w:eastAsia="Times New Roman" w:hAnsi="Times New Roman"/>
          <w:sz w:val="21"/>
          <w:szCs w:val="21"/>
          <w:color w:val="FF0000"/>
          <w:strike w:val="1"/>
        </w:rPr>
        <w:t>150</w:t>
      </w:r>
      <w:r>
        <w:rPr>
          <w:rFonts w:ascii="Times New Roman" w:cs="Times New Roman" w:eastAsia="Times New Roman" w:hAnsi="Times New Roman"/>
          <w:sz w:val="21"/>
          <w:szCs w:val="21"/>
          <w:u w:val="single" w:color="auto"/>
          <w:color w:val="0000FF"/>
          <w:strike w:val="1"/>
        </w:rPr>
        <w:t>154</w:t>
      </w:r>
    </w:p>
    <w:p>
      <w:pPr>
        <w:sectPr>
          <w:pgSz w:w="11900" w:h="16838" w:orient="portrait"/>
          <w:cols w:equalWidth="0" w:num="1">
            <w:col w:w="10139"/>
          </w:cols>
          <w:pgMar w:left="320" w:top="1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139"/>
          </w:cols>
          <w:pgMar w:left="320" w:top="1179" w:right="1440" w:bottom="1440" w:gutter="0" w:footer="0" w:header="0"/>
          <w:type w:val="continuous"/>
        </w:sectPr>
      </w:pPr>
    </w:p>
    <w:bookmarkStart w:id="27" w:name="page28"/>
    <w:bookmarkEnd w:id="27"/>
    <w:tbl>
      <w:tblPr>
        <w:tblLayout w:type="fixed"/>
        <w:tblInd w:w="800" w:type="dxa"/>
        <w:tblCellMar>
          <w:top w:w="0" w:type="dxa"/>
          <w:left w:w="0" w:type="dxa"/>
          <w:bottom w:w="0" w:type="dxa"/>
          <w:right w:w="0" w:type="dxa"/>
        </w:tblCellMar>
      </w:tblPr>
      <w:tr>
        <w:trPr>
          <w:trHeight w:val="286"/>
        </w:trPr>
        <w:tc>
          <w:tcPr>
            <w:tcW w:w="1280" w:type="dxa"/>
            <w:vAlign w:val="bottom"/>
          </w:tcPr>
          <w:p>
            <w:pPr>
              <w:spacing w:after="0"/>
              <w:rPr>
                <w:sz w:val="24"/>
                <w:szCs w:val="24"/>
                <w:color w:val="auto"/>
              </w:rPr>
            </w:pPr>
          </w:p>
        </w:tc>
        <w:tc>
          <w:tcPr>
            <w:tcW w:w="6220" w:type="dxa"/>
            <w:vAlign w:val="bottom"/>
          </w:tcPr>
          <w:p>
            <w:pPr>
              <w:jc w:val="center"/>
              <w:ind w:left="952"/>
              <w:spacing w:after="0"/>
              <w:rPr>
                <w:sz w:val="20"/>
                <w:szCs w:val="20"/>
                <w:color w:val="auto"/>
              </w:rPr>
            </w:pPr>
            <w:r>
              <w:rPr>
                <w:rFonts w:ascii="Times New Roman" w:cs="Times New Roman" w:eastAsia="Times New Roman" w:hAnsi="Times New Roman"/>
                <w:sz w:val="22"/>
                <w:szCs w:val="22"/>
                <w:b w:val="1"/>
                <w:bCs w:val="1"/>
                <w:color w:val="0000FF"/>
                <w:w w:val="98"/>
              </w:rPr>
              <w:t>ARTICLE IX</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1280" w:type="dxa"/>
            <w:vAlign w:val="bottom"/>
          </w:tcPr>
          <w:p>
            <w:pPr>
              <w:spacing w:after="0"/>
              <w:rPr>
                <w:sz w:val="24"/>
                <w:szCs w:val="24"/>
                <w:color w:val="auto"/>
              </w:rPr>
            </w:pPr>
          </w:p>
        </w:tc>
        <w:tc>
          <w:tcPr>
            <w:tcW w:w="6220" w:type="dxa"/>
            <w:vAlign w:val="bottom"/>
          </w:tcPr>
          <w:p>
            <w:pPr>
              <w:jc w:val="center"/>
              <w:ind w:left="972"/>
              <w:spacing w:after="0"/>
              <w:rPr>
                <w:sz w:val="20"/>
                <w:szCs w:val="20"/>
                <w:color w:val="auto"/>
              </w:rPr>
            </w:pPr>
            <w:r>
              <w:rPr>
                <w:rFonts w:ascii="Times New Roman" w:cs="Times New Roman" w:eastAsia="Times New Roman" w:hAnsi="Times New Roman"/>
                <w:sz w:val="22"/>
                <w:szCs w:val="22"/>
                <w:b w:val="1"/>
                <w:bCs w:val="1"/>
                <w:color w:val="0000FF"/>
                <w:w w:val="97"/>
              </w:rPr>
              <w:t>THE ADMINISTRATIVE AGENT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0"/>
        </w:trPr>
        <w:tc>
          <w:tcPr>
            <w:tcW w:w="7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Section 9.01  Appointment and Authority.....................................................................</w:t>
            </w:r>
          </w:p>
        </w:tc>
        <w:tc>
          <w:tcPr>
            <w:tcW w:w="32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0"/>
              </w:rPr>
              <w:t>151</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7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rPr>
              <w:t>Section 9.02  Administrative Agent Individually..........................................................</w:t>
            </w:r>
          </w:p>
        </w:tc>
        <w:tc>
          <w:tcPr>
            <w:tcW w:w="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152</w:t>
            </w:r>
          </w:p>
        </w:tc>
        <w:tc>
          <w:tcPr>
            <w:tcW w:w="340" w:type="dxa"/>
            <w:vAlign w:val="bottom"/>
            <w:tcBorders>
              <w:bottom w:val="single" w:sz="8" w:color="0000FF"/>
            </w:tcBorders>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156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9.03  Duties of Administrative Agent; Exculpatory Provisions.......................</w:t>
            </w:r>
          </w:p>
        </w:tc>
        <w:tc>
          <w:tcPr>
            <w:tcW w:w="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90"/>
              </w:rPr>
              <w:t>153</w:t>
            </w:r>
          </w:p>
        </w:tc>
        <w:tc>
          <w:tcPr>
            <w:tcW w:w="340" w:type="dxa"/>
            <w:vAlign w:val="bottom"/>
            <w:tcBorders>
              <w:bottom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9.04  Reliance by Administrative Agent...........................................................</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154</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158</w:t>
            </w:r>
          </w:p>
        </w:tc>
        <w:tc>
          <w:tcPr>
            <w:tcW w:w="20" w:type="dxa"/>
            <w:vAlign w:val="bottom"/>
            <w:tcBorders>
              <w:bottom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9.05  Delegation of Duties................................................................................</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154</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9.06  Resignation of Administrative Agent......................................................</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154</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7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rPr>
              <w:t>Section 9.07  Non-Reliance on Administrative Agent and Other Lender Parties.........</w:t>
            </w:r>
          </w:p>
        </w:tc>
        <w:tc>
          <w:tcPr>
            <w:tcW w:w="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156</w:t>
            </w:r>
          </w:p>
        </w:tc>
        <w:tc>
          <w:tcPr>
            <w:tcW w:w="340" w:type="dxa"/>
            <w:vAlign w:val="bottom"/>
            <w:tcBorders>
              <w:bottom w:val="single" w:sz="8" w:color="0000FF"/>
            </w:tcBorders>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9.08  No Other Duties, Etc................................................................................</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157</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161</w:t>
            </w:r>
          </w:p>
        </w:tc>
        <w:tc>
          <w:tcPr>
            <w:tcW w:w="20" w:type="dxa"/>
            <w:vAlign w:val="bottom"/>
            <w:tcBorders>
              <w:bottom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9.09  Administrative Agent May File Proofs of Claim.....................................</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157</w:t>
            </w:r>
          </w:p>
        </w:tc>
        <w:tc>
          <w:tcPr>
            <w:tcW w:w="340" w:type="dxa"/>
            <w:vAlign w:val="bottom"/>
            <w:tcBorders>
              <w:bottom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9.10  Collateral and Guaranty Matters..............................................................</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158</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162</w:t>
            </w:r>
          </w:p>
        </w:tc>
        <w:tc>
          <w:tcPr>
            <w:tcW w:w="20" w:type="dxa"/>
            <w:vAlign w:val="bottom"/>
            <w:tcBorders>
              <w:bottom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9.11  Removal of Administrative Agent...........................................................</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159</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163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rPr>
              <w:t>Section 9.12  Certain ERISA Matters............................................................................</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159</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163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28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8"/>
              </w:rPr>
              <w:t>Section 9.13</w:t>
            </w:r>
          </w:p>
        </w:tc>
        <w:tc>
          <w:tcPr>
            <w:tcW w:w="6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8"/>
              </w:rPr>
              <w:t>Erroneous Payments.................................................................................</w:t>
            </w:r>
          </w:p>
        </w:tc>
        <w:tc>
          <w:tcPr>
            <w:tcW w:w="36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FF0000"/>
                <w:strike w:val="1"/>
                <w:w w:val="96"/>
              </w:rPr>
              <w:t>160</w:t>
            </w:r>
          </w:p>
        </w:tc>
        <w:tc>
          <w:tcPr>
            <w:tcW w:w="3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164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05"/>
        </w:trPr>
        <w:tc>
          <w:tcPr>
            <w:tcW w:w="1280" w:type="dxa"/>
            <w:vAlign w:val="bottom"/>
          </w:tcPr>
          <w:p>
            <w:pPr>
              <w:spacing w:after="0"/>
              <w:rPr>
                <w:sz w:val="24"/>
                <w:szCs w:val="24"/>
                <w:color w:val="auto"/>
              </w:rPr>
            </w:pPr>
          </w:p>
        </w:tc>
        <w:tc>
          <w:tcPr>
            <w:tcW w:w="6220" w:type="dxa"/>
            <w:vAlign w:val="bottom"/>
          </w:tcPr>
          <w:p>
            <w:pPr>
              <w:jc w:val="center"/>
              <w:ind w:left="972"/>
              <w:spacing w:after="0"/>
              <w:rPr>
                <w:sz w:val="20"/>
                <w:szCs w:val="20"/>
                <w:color w:val="auto"/>
              </w:rPr>
            </w:pPr>
            <w:r>
              <w:rPr>
                <w:rFonts w:ascii="Times New Roman" w:cs="Times New Roman" w:eastAsia="Times New Roman" w:hAnsi="Times New Roman"/>
                <w:sz w:val="22"/>
                <w:szCs w:val="22"/>
                <w:b w:val="1"/>
                <w:bCs w:val="1"/>
                <w:color w:val="0000FF"/>
                <w:w w:val="96"/>
              </w:rPr>
              <w:t>ARTICLE X</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1280" w:type="dxa"/>
            <w:vAlign w:val="bottom"/>
          </w:tcPr>
          <w:p>
            <w:pPr>
              <w:spacing w:after="0"/>
              <w:rPr>
                <w:sz w:val="24"/>
                <w:szCs w:val="24"/>
                <w:color w:val="auto"/>
              </w:rPr>
            </w:pPr>
          </w:p>
        </w:tc>
        <w:tc>
          <w:tcPr>
            <w:tcW w:w="6220" w:type="dxa"/>
            <w:vAlign w:val="bottom"/>
          </w:tcPr>
          <w:p>
            <w:pPr>
              <w:jc w:val="center"/>
              <w:ind w:left="972"/>
              <w:spacing w:after="0"/>
              <w:rPr>
                <w:sz w:val="20"/>
                <w:szCs w:val="20"/>
                <w:color w:val="auto"/>
              </w:rPr>
            </w:pPr>
            <w:r>
              <w:rPr>
                <w:rFonts w:ascii="Times New Roman" w:cs="Times New Roman" w:eastAsia="Times New Roman" w:hAnsi="Times New Roman"/>
                <w:sz w:val="22"/>
                <w:szCs w:val="22"/>
                <w:b w:val="1"/>
                <w:bCs w:val="1"/>
                <w:color w:val="0000FF"/>
                <w:w w:val="98"/>
              </w:rPr>
              <w:t>MISCELLANEOUS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0"/>
        </w:trPr>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9"/>
              </w:rPr>
              <w:t>Section 10.01</w:t>
            </w:r>
          </w:p>
        </w:tc>
        <w:tc>
          <w:tcPr>
            <w:tcW w:w="622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99"/>
              </w:rPr>
              <w:t>Amendments, Etc.....................................................................................</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161</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10.02  Notices; Effectiveness; Electronic Communications...............................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163</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168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7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9"/>
              </w:rPr>
              <w:t>Section 10.03  No Waiver; Cumulative Remedies..........................................................</w:t>
            </w: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171</w:t>
            </w:r>
          </w:p>
        </w:tc>
        <w:tc>
          <w:tcPr>
            <w:tcW w:w="320" w:type="dxa"/>
            <w:vAlign w:val="bottom"/>
            <w:tcBorders>
              <w:bottom w:val="single" w:sz="8" w:color="0000FF"/>
            </w:tcBorders>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0000FF"/>
                <w:w w:val="84"/>
              </w:rPr>
              <w:t>175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10.04  Expenses; Limitation of Liability; Indemnity..........................................</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171</w:t>
            </w:r>
          </w:p>
        </w:tc>
        <w:tc>
          <w:tcPr>
            <w:tcW w:w="3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176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10.05  Payments Set Aside..................................................................................</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173</w:t>
            </w:r>
          </w:p>
        </w:tc>
        <w:tc>
          <w:tcPr>
            <w:tcW w:w="340" w:type="dxa"/>
            <w:vAlign w:val="bottom"/>
            <w:tcBorders>
              <w:bottom w:val="single" w:sz="8" w:color="0000FF"/>
            </w:tcBorders>
            <w:gridSpan w:val="5"/>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90"/>
              </w:rPr>
              <w:t>178</w:t>
            </w:r>
          </w:p>
        </w:tc>
        <w:tc>
          <w:tcPr>
            <w:tcW w:w="60" w:type="dxa"/>
            <w:vAlign w:val="bottom"/>
          </w:tcPr>
          <w:p>
            <w:pPr>
              <w:spacing w:after="0"/>
              <w:rPr>
                <w:sz w:val="20"/>
                <w:szCs w:val="20"/>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10.06  Successors and Assigns............................................................................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174</w:t>
            </w:r>
          </w:p>
        </w:tc>
        <w:tc>
          <w:tcPr>
            <w:tcW w:w="340" w:type="dxa"/>
            <w:vAlign w:val="bottom"/>
            <w:tcBorders>
              <w:bottom w:val="single" w:sz="8" w:color="0000FF"/>
            </w:tcBorders>
            <w:gridSpan w:val="5"/>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90"/>
              </w:rPr>
              <w:t>178</w:t>
            </w:r>
          </w:p>
        </w:tc>
        <w:tc>
          <w:tcPr>
            <w:tcW w:w="60" w:type="dxa"/>
            <w:vAlign w:val="bottom"/>
          </w:tcPr>
          <w:p>
            <w:pPr>
              <w:spacing w:after="0"/>
              <w:rPr>
                <w:sz w:val="20"/>
                <w:szCs w:val="20"/>
                <w:color w:val="auto"/>
              </w:rPr>
            </w:pPr>
          </w:p>
        </w:tc>
      </w:tr>
      <w:tr>
        <w:trPr>
          <w:trHeight w:val="237"/>
        </w:trPr>
        <w:tc>
          <w:tcPr>
            <w:tcW w:w="128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color w:val="0000FF"/>
                <w:w w:val="97"/>
              </w:rPr>
              <w:t>Section 10.07</w:t>
            </w:r>
          </w:p>
        </w:tc>
        <w:tc>
          <w:tcPr>
            <w:tcW w:w="6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Right of Setoff..........................................................................................</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180</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184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7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9"/>
              </w:rPr>
              <w:t>Section 10.08  Interest Rate Limitation...........................................................................</w:t>
            </w: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180</w:t>
            </w:r>
          </w:p>
        </w:tc>
        <w:tc>
          <w:tcPr>
            <w:tcW w:w="320" w:type="dxa"/>
            <w:vAlign w:val="bottom"/>
            <w:tcBorders>
              <w:bottom w:val="single" w:sz="8" w:color="0000FF"/>
            </w:tcBorders>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0000FF"/>
                <w:w w:val="84"/>
              </w:rPr>
              <w:t>185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10.09  Counterparts; Integration; Effectiveness..................................................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180</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185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10.10  Survival of Representations and Warranties............................................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182</w:t>
            </w:r>
          </w:p>
        </w:tc>
        <w:tc>
          <w:tcPr>
            <w:tcW w:w="3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128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color w:val="0000FF"/>
                <w:w w:val="97"/>
              </w:rPr>
              <w:t>Section 10.11</w:t>
            </w:r>
          </w:p>
        </w:tc>
        <w:tc>
          <w:tcPr>
            <w:tcW w:w="6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0000FF"/>
                <w:w w:val="99"/>
              </w:rPr>
              <w:t>Severability..............................................................................................</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182</w:t>
            </w:r>
          </w:p>
        </w:tc>
        <w:tc>
          <w:tcPr>
            <w:tcW w:w="320" w:type="dxa"/>
            <w:vAlign w:val="bottom"/>
            <w:tcBorders>
              <w:top w:val="single" w:sz="8" w:color="0000FF"/>
              <w:bottom w:val="single" w:sz="8" w:color="0000FF"/>
            </w:tcBorders>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84"/>
              </w:rPr>
              <w:t>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9"/>
              </w:rPr>
              <w:t>Section 10.12  Replacement of Lenders..........................................................................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182</w:t>
            </w:r>
          </w:p>
        </w:tc>
        <w:tc>
          <w:tcPr>
            <w:tcW w:w="320" w:type="dxa"/>
            <w:vAlign w:val="bottom"/>
            <w:tcBorders>
              <w:bottom w:val="single" w:sz="8" w:color="0000FF"/>
            </w:tcBorders>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84"/>
              </w:rPr>
              <w:t>187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10.13  Governing Law; Jurisdiction; Etc............................................................</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183</w:t>
            </w:r>
          </w:p>
        </w:tc>
        <w:tc>
          <w:tcPr>
            <w:tcW w:w="3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7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8"/>
              </w:rPr>
              <w:t>Section 10.14  Waiver of Jury Trial.................................................................................</w:t>
            </w: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184</w:t>
            </w:r>
          </w:p>
        </w:tc>
        <w:tc>
          <w:tcPr>
            <w:tcW w:w="320" w:type="dxa"/>
            <w:vAlign w:val="bottom"/>
            <w:tcBorders>
              <w:top w:val="single" w:sz="8" w:color="0000FF"/>
              <w:bottom w:val="single" w:sz="8" w:color="0000FF"/>
            </w:tcBorders>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10.15  No Advisory or Fiduciary Responsibility................................................</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184</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189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9"/>
              </w:rPr>
              <w:t>Section 10.16  USA PATRIOT Act Notice.....................................................................</w:t>
            </w:r>
          </w:p>
        </w:tc>
        <w:tc>
          <w:tcPr>
            <w:tcW w:w="36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185</w:t>
            </w:r>
          </w:p>
        </w:tc>
        <w:tc>
          <w:tcPr>
            <w:tcW w:w="36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w w:val="90"/>
              </w:rPr>
              <w:t>189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5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Section 10.17  No Liability of Members, Partners and Other Persons............................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185</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190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8300" w:type="dxa"/>
            <w:vAlign w:val="bottom"/>
            <w:gridSpan w:val="12"/>
          </w:tcPr>
          <w:p>
            <w:pPr>
              <w:jc w:val="right"/>
              <w:ind w:right="620"/>
              <w:spacing w:after="0"/>
              <w:rPr>
                <w:sz w:val="20"/>
                <w:szCs w:val="20"/>
                <w:color w:val="auto"/>
              </w:rPr>
            </w:pPr>
            <w:r>
              <w:rPr>
                <w:rFonts w:ascii="Times New Roman" w:cs="Times New Roman" w:eastAsia="Times New Roman" w:hAnsi="Times New Roman"/>
                <w:sz w:val="22"/>
                <w:szCs w:val="22"/>
                <w:color w:val="0000FF"/>
              </w:rPr>
              <w:t>Section 10.18  Authorization of Third Parties to Deliver Information and Discuss</w:t>
            </w:r>
          </w:p>
        </w:tc>
      </w:tr>
      <w:tr>
        <w:trPr>
          <w:trHeight w:val="230"/>
        </w:trPr>
        <w:tc>
          <w:tcPr>
            <w:tcW w:w="1280" w:type="dxa"/>
            <w:vAlign w:val="bottom"/>
          </w:tcPr>
          <w:p>
            <w:pPr>
              <w:spacing w:after="0"/>
              <w:rPr>
                <w:sz w:val="19"/>
                <w:szCs w:val="19"/>
                <w:color w:val="auto"/>
              </w:rPr>
            </w:pPr>
          </w:p>
        </w:tc>
        <w:tc>
          <w:tcPr>
            <w:tcW w:w="62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0000FF"/>
              </w:rPr>
              <w:t>Affairs.....................................................................................................</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1"/>
              </w:rPr>
              <w:t>.</w:t>
            </w:r>
            <w:r>
              <w:rPr>
                <w:rFonts w:ascii="Times New Roman" w:cs="Times New Roman" w:eastAsia="Times New Roman" w:hAnsi="Times New Roman"/>
                <w:sz w:val="16"/>
                <w:szCs w:val="16"/>
                <w:color w:val="FF0000"/>
                <w:strike w:val="1"/>
                <w:w w:val="71"/>
              </w:rPr>
              <w:t>185</w:t>
            </w:r>
          </w:p>
        </w:tc>
        <w:tc>
          <w:tcPr>
            <w:tcW w:w="160" w:type="dxa"/>
            <w:vAlign w:val="bottom"/>
            <w:gridSpan w:val="4"/>
          </w:tcPr>
          <w:p>
            <w:pPr>
              <w:spacing w:after="0"/>
              <w:rPr>
                <w:sz w:val="19"/>
                <w:szCs w:val="19"/>
                <w:color w:val="auto"/>
              </w:rPr>
            </w:pPr>
          </w:p>
        </w:tc>
        <w:tc>
          <w:tcPr>
            <w:tcW w:w="320" w:type="dxa"/>
            <w:vAlign w:val="bottom"/>
            <w:tcBorders>
              <w:bottom w:val="single" w:sz="8" w:color="0000FF"/>
            </w:tcBorders>
            <w:gridSpan w:val="5"/>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190</w:t>
            </w:r>
          </w:p>
        </w:tc>
      </w:tr>
      <w:tr>
        <w:trPr>
          <w:trHeight w:val="236"/>
        </w:trPr>
        <w:tc>
          <w:tcPr>
            <w:tcW w:w="128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color w:val="0000FF"/>
                <w:w w:val="97"/>
              </w:rPr>
              <w:t>Section 10.19</w:t>
            </w:r>
          </w:p>
        </w:tc>
        <w:tc>
          <w:tcPr>
            <w:tcW w:w="6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0000FF"/>
                <w:w w:val="98"/>
              </w:rPr>
              <w:t>Additional Borrowers...............................................................................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185</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190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0000FF"/>
        </w:rPr>
        <w:t>tion 10.20</w:t>
      </w:r>
      <w:r>
        <w:rPr>
          <w:sz w:val="20"/>
          <w:szCs w:val="20"/>
          <w:color w:val="auto"/>
        </w:rPr>
        <w:tab/>
      </w:r>
      <w:r>
        <w:rPr>
          <w:rFonts w:ascii="Times New Roman" w:cs="Times New Roman" w:eastAsia="Times New Roman" w:hAnsi="Times New Roman"/>
          <w:sz w:val="21"/>
          <w:szCs w:val="21"/>
          <w:color w:val="0000FF"/>
        </w:rPr>
        <w:t>Joint and Several Obligations; Express Waivers By Borrowers In Respect of Cross Guaranties and Cross</w:t>
      </w:r>
    </w:p>
    <w:tbl>
      <w:tblPr>
        <w:tblLayout w:type="fixed"/>
        <w:tblInd w:w="3540" w:type="dxa"/>
        <w:tblCellMar>
          <w:top w:w="0" w:type="dxa"/>
          <w:left w:w="0" w:type="dxa"/>
          <w:bottom w:w="0" w:type="dxa"/>
          <w:right w:w="0" w:type="dxa"/>
        </w:tblCellMar>
      </w:tblPr>
      <w:tr>
        <w:trPr>
          <w:trHeight w:val="233"/>
        </w:trPr>
        <w:tc>
          <w:tcPr>
            <w:tcW w:w="3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0000FF"/>
                <w:w w:val="97"/>
              </w:rPr>
              <w:t>Collateralization..........................................</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186</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190</w:t>
            </w:r>
          </w:p>
        </w:tc>
      </w:tr>
    </w:tbl>
    <w:p>
      <w:pPr>
        <w:spacing w:after="0" w:line="1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0000FF"/>
        </w:rPr>
        <w:t>tion 10.21</w:t>
      </w:r>
      <w:r>
        <w:rPr>
          <w:sz w:val="20"/>
          <w:szCs w:val="20"/>
          <w:color w:val="auto"/>
        </w:rPr>
        <w:tab/>
      </w:r>
      <w:r>
        <w:rPr>
          <w:rFonts w:ascii="Times New Roman" w:cs="Times New Roman" w:eastAsia="Times New Roman" w:hAnsi="Times New Roman"/>
          <w:sz w:val="21"/>
          <w:szCs w:val="21"/>
          <w:color w:val="0000FF"/>
        </w:rPr>
        <w:t>Acknowledgments Relating to, and Effects of, the Amendment and Restatement of the First A&amp;R Credit</w:t>
      </w:r>
    </w:p>
    <w:tbl>
      <w:tblPr>
        <w:tblLayout w:type="fixed"/>
        <w:tblInd w:w="800" w:type="dxa"/>
        <w:tblCellMar>
          <w:top w:w="0" w:type="dxa"/>
          <w:left w:w="0" w:type="dxa"/>
          <w:bottom w:w="0" w:type="dxa"/>
          <w:right w:w="0" w:type="dxa"/>
        </w:tblCellMar>
      </w:tblPr>
      <w:tr>
        <w:trPr>
          <w:trHeight w:val="247"/>
        </w:trPr>
        <w:tc>
          <w:tcPr>
            <w:tcW w:w="6060" w:type="dxa"/>
            <w:vAlign w:val="bottom"/>
          </w:tcPr>
          <w:p>
            <w:pPr>
              <w:ind w:left="3140"/>
              <w:spacing w:after="0" w:line="247" w:lineRule="exact"/>
              <w:rPr>
                <w:sz w:val="20"/>
                <w:szCs w:val="20"/>
                <w:color w:val="auto"/>
              </w:rPr>
            </w:pPr>
            <w:r>
              <w:rPr>
                <w:rFonts w:ascii="Times New Roman" w:cs="Times New Roman" w:eastAsia="Times New Roman" w:hAnsi="Times New Roman"/>
                <w:sz w:val="22"/>
                <w:szCs w:val="22"/>
                <w:color w:val="0000FF"/>
                <w:w w:val="98"/>
              </w:rPr>
              <w:t>Agreement....................................</w:t>
            </w:r>
          </w:p>
        </w:tc>
        <w:tc>
          <w:tcPr>
            <w:tcW w:w="3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FF0000"/>
                <w:strike w:val="1"/>
                <w:w w:val="90"/>
              </w:rPr>
              <w:t>187</w:t>
            </w:r>
          </w:p>
        </w:tc>
        <w:tc>
          <w:tcPr>
            <w:tcW w:w="320" w:type="dxa"/>
            <w:vAlign w:val="bottom"/>
            <w:tcBorders>
              <w:bottom w:val="single" w:sz="8" w:color="0000FF"/>
            </w:tcBorders>
          </w:tcPr>
          <w:p>
            <w:pPr>
              <w:jc w:val="right"/>
              <w:spacing w:after="0" w:line="247" w:lineRule="exact"/>
              <w:rPr>
                <w:sz w:val="20"/>
                <w:szCs w:val="20"/>
                <w:color w:val="auto"/>
              </w:rPr>
            </w:pPr>
            <w:r>
              <w:rPr>
                <w:rFonts w:ascii="Times New Roman" w:cs="Times New Roman" w:eastAsia="Times New Roman" w:hAnsi="Times New Roman"/>
                <w:sz w:val="22"/>
                <w:szCs w:val="22"/>
                <w:color w:val="0000FF"/>
                <w:w w:val="90"/>
              </w:rPr>
              <w:t>192</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7"/>
        </w:trPr>
        <w:tc>
          <w:tcPr>
            <w:tcW w:w="6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79"/>
              </w:rPr>
              <w:t>Section 10.22  Contractual Recognition of Bail-In..........................................................</w:t>
            </w:r>
          </w:p>
        </w:tc>
        <w:tc>
          <w:tcPr>
            <w:tcW w:w="64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188</w:t>
            </w:r>
          </w:p>
        </w:tc>
        <w:tc>
          <w:tcPr>
            <w:tcW w:w="320" w:type="dxa"/>
            <w:vAlign w:val="bottom"/>
            <w:tcBorders>
              <w:bottom w:val="single" w:sz="8" w:color="0000FF"/>
            </w:tcBorders>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193</w:t>
            </w:r>
          </w:p>
        </w:tc>
      </w:tr>
    </w:tbl>
    <w:p>
      <w:pPr>
        <w:spacing w:after="0" w:line="200" w:lineRule="exact"/>
        <w:rPr>
          <w:sz w:val="20"/>
          <w:szCs w:val="20"/>
          <w:color w:val="auto"/>
        </w:rPr>
      </w:pPr>
    </w:p>
    <w:p>
      <w:pPr>
        <w:sectPr>
          <w:pgSz w:w="11900" w:h="16838" w:orient="portrait"/>
          <w:cols w:equalWidth="0" w:num="1">
            <w:col w:w="10239"/>
          </w:cols>
          <w:pgMar w:left="220" w:top="11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239"/>
          </w:cols>
          <w:pgMar w:left="220" w:top="1175" w:right="1440" w:bottom="1440" w:gutter="0" w:footer="0" w:header="0"/>
          <w:type w:val="continuous"/>
        </w:sectPr>
      </w:pPr>
    </w:p>
    <w:bookmarkStart w:id="28" w:name="page29"/>
    <w:bookmarkEnd w:id="28"/>
    <w:p>
      <w:pPr>
        <w:ind w:left="720"/>
        <w:spacing w:after="0"/>
        <w:tabs>
          <w:tab w:leader="none" w:pos="2120" w:val="left"/>
          <w:tab w:leader="dot" w:pos="8240" w:val="left"/>
        </w:tabs>
        <w:rPr>
          <w:sz w:val="20"/>
          <w:szCs w:val="20"/>
          <w:color w:val="auto"/>
        </w:rPr>
      </w:pPr>
      <w:r>
        <w:rPr>
          <w:rFonts w:ascii="Times New Roman" w:cs="Times New Roman" w:eastAsia="Times New Roman" w:hAnsi="Times New Roman"/>
          <w:sz w:val="22"/>
          <w:szCs w:val="22"/>
          <w:color w:val="0000FF"/>
        </w:rPr>
        <w:t>Section 10.23</w:t>
        <w:tab/>
        <w:t>Acknowledgement Regarding Any Supported QFCs</w:t>
      </w:r>
      <w:r>
        <w:rPr>
          <w:sz w:val="20"/>
          <w:szCs w:val="20"/>
          <w:color w:val="auto"/>
        </w:rPr>
        <w:tab/>
      </w:r>
      <w:r>
        <w:rPr>
          <w:rFonts w:ascii="Times New Roman" w:cs="Times New Roman" w:eastAsia="Times New Roman" w:hAnsi="Times New Roman"/>
          <w:sz w:val="21"/>
          <w:szCs w:val="21"/>
          <w:color w:val="FF0000"/>
          <w:strike w:val="1"/>
        </w:rPr>
        <w:t>189</w:t>
      </w:r>
      <w:r>
        <w:rPr>
          <w:rFonts w:ascii="Times New Roman" w:cs="Times New Roman" w:eastAsia="Times New Roman" w:hAnsi="Times New Roman"/>
          <w:sz w:val="21"/>
          <w:szCs w:val="21"/>
          <w:u w:val="single" w:color="auto"/>
          <w:color w:val="0000FF"/>
          <w:strike w:val="1"/>
        </w:rPr>
        <w:t>193</w:t>
      </w:r>
    </w:p>
    <w:p>
      <w:pPr>
        <w:spacing w:after="0" w:line="28" w:lineRule="exact"/>
        <w:rPr>
          <w:sz w:val="20"/>
          <w:szCs w:val="20"/>
          <w:color w:val="auto"/>
        </w:rPr>
      </w:pPr>
    </w:p>
    <w:p>
      <w:pPr>
        <w:ind w:left="720"/>
        <w:spacing w:after="0"/>
        <w:tabs>
          <w:tab w:leader="none" w:pos="2140" w:val="left"/>
          <w:tab w:leader="dot" w:pos="8240" w:val="left"/>
        </w:tabs>
        <w:rPr>
          <w:sz w:val="20"/>
          <w:szCs w:val="20"/>
          <w:color w:val="auto"/>
        </w:rPr>
      </w:pPr>
      <w:r>
        <w:rPr>
          <w:rFonts w:ascii="Times New Roman" w:cs="Times New Roman" w:eastAsia="Times New Roman" w:hAnsi="Times New Roman"/>
          <w:sz w:val="22"/>
          <w:szCs w:val="22"/>
          <w:color w:val="0000FF"/>
        </w:rPr>
        <w:t>Section 10.24</w:t>
        <w:tab/>
        <w:t>Additional Consents, Etc</w:t>
      </w:r>
      <w:r>
        <w:rPr>
          <w:sz w:val="20"/>
          <w:szCs w:val="20"/>
          <w:color w:val="auto"/>
        </w:rPr>
        <w:tab/>
      </w:r>
      <w:r>
        <w:rPr>
          <w:rFonts w:ascii="Times New Roman" w:cs="Times New Roman" w:eastAsia="Times New Roman" w:hAnsi="Times New Roman"/>
          <w:sz w:val="21"/>
          <w:szCs w:val="21"/>
          <w:color w:val="FF0000"/>
          <w:strike w:val="1"/>
        </w:rPr>
        <w:t>189</w:t>
      </w:r>
      <w:r>
        <w:rPr>
          <w:rFonts w:ascii="Times New Roman" w:cs="Times New Roman" w:eastAsia="Times New Roman" w:hAnsi="Times New Roman"/>
          <w:sz w:val="21"/>
          <w:szCs w:val="21"/>
          <w:u w:val="single" w:color="auto"/>
          <w:color w:val="0000FF"/>
          <w:strike w:val="1"/>
        </w:rPr>
        <w:t>194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1.01(i)</w:t>
      </w:r>
      <w:r>
        <w:rPr>
          <w:sz w:val="20"/>
          <w:szCs w:val="20"/>
          <w:color w:val="auto"/>
        </w:rPr>
        <w:tab/>
      </w:r>
      <w:r>
        <w:rPr>
          <w:rFonts w:ascii="Times New Roman" w:cs="Times New Roman" w:eastAsia="Times New Roman" w:hAnsi="Times New Roman"/>
          <w:sz w:val="21"/>
          <w:szCs w:val="21"/>
          <w:color w:val="auto"/>
        </w:rPr>
        <w:t>Restricted Subsidiaries</w:t>
      </w:r>
    </w:p>
    <w:p>
      <w:pPr>
        <w:spacing w:after="0" w:line="2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1.01(ii)</w:t>
      </w:r>
      <w:r>
        <w:rPr>
          <w:sz w:val="20"/>
          <w:szCs w:val="20"/>
          <w:color w:val="auto"/>
        </w:rPr>
        <w:tab/>
      </w:r>
      <w:r>
        <w:rPr>
          <w:rFonts w:ascii="Times New Roman" w:cs="Times New Roman" w:eastAsia="Times New Roman" w:hAnsi="Times New Roman"/>
          <w:sz w:val="21"/>
          <w:szCs w:val="21"/>
          <w:color w:val="auto"/>
        </w:rPr>
        <w:t>Unrestricted Subsidiaries</w:t>
      </w:r>
    </w:p>
    <w:p>
      <w:pPr>
        <w:spacing w:after="0" w:line="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1.01(iii)</w:t>
      </w:r>
      <w:r>
        <w:rPr>
          <w:sz w:val="20"/>
          <w:szCs w:val="20"/>
          <w:color w:val="auto"/>
        </w:rPr>
        <w:tab/>
      </w:r>
      <w:r>
        <w:rPr>
          <w:rFonts w:ascii="Times New Roman" w:cs="Times New Roman" w:eastAsia="Times New Roman" w:hAnsi="Times New Roman"/>
          <w:sz w:val="21"/>
          <w:szCs w:val="21"/>
          <w:color w:val="auto"/>
        </w:rPr>
        <w:t>Guarantors</w:t>
      </w:r>
    </w:p>
    <w:p>
      <w:pPr>
        <w:spacing w:after="0" w:line="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Schedule 1.01(iv)</w:t>
      </w:r>
      <w:r>
        <w:rPr>
          <w:sz w:val="20"/>
          <w:szCs w:val="20"/>
          <w:color w:val="auto"/>
        </w:rPr>
        <w:tab/>
      </w:r>
      <w:r>
        <w:rPr>
          <w:rFonts w:ascii="Times New Roman" w:cs="Times New Roman" w:eastAsia="Times New Roman" w:hAnsi="Times New Roman"/>
          <w:sz w:val="21"/>
          <w:szCs w:val="21"/>
          <w:color w:val="auto"/>
        </w:rPr>
        <w:t>Secured Hedge Agreements as of the Closing Date</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2.01</w:t>
      </w:r>
      <w:r>
        <w:rPr>
          <w:sz w:val="20"/>
          <w:szCs w:val="20"/>
          <w:color w:val="auto"/>
        </w:rPr>
        <w:tab/>
      </w:r>
      <w:r>
        <w:rPr>
          <w:rFonts w:ascii="Times New Roman" w:cs="Times New Roman" w:eastAsia="Times New Roman" w:hAnsi="Times New Roman"/>
          <w:sz w:val="21"/>
          <w:szCs w:val="21"/>
          <w:color w:val="auto"/>
        </w:rPr>
        <w:t>Commitments and Applicable Percentages</w:t>
      </w:r>
    </w:p>
    <w:p>
      <w:pPr>
        <w:spacing w:after="0" w:line="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2.03</w:t>
      </w:r>
      <w:r>
        <w:rPr>
          <w:sz w:val="20"/>
          <w:szCs w:val="20"/>
          <w:color w:val="auto"/>
        </w:rPr>
        <w:tab/>
      </w:r>
      <w:r>
        <w:rPr>
          <w:rFonts w:ascii="Times New Roman" w:cs="Times New Roman" w:eastAsia="Times New Roman" w:hAnsi="Times New Roman"/>
          <w:sz w:val="21"/>
          <w:szCs w:val="21"/>
          <w:color w:val="auto"/>
        </w:rPr>
        <w:t>L/C Commitments</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6.03</w:t>
      </w:r>
      <w:r>
        <w:rPr>
          <w:sz w:val="20"/>
          <w:szCs w:val="20"/>
          <w:color w:val="auto"/>
        </w:rPr>
        <w:tab/>
      </w:r>
      <w:r>
        <w:rPr>
          <w:rFonts w:ascii="Times New Roman" w:cs="Times New Roman" w:eastAsia="Times New Roman" w:hAnsi="Times New Roman"/>
          <w:sz w:val="21"/>
          <w:szCs w:val="21"/>
          <w:color w:val="auto"/>
        </w:rPr>
        <w:t>Required Consents and Regulatory Approvals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6.05</w:t>
      </w:r>
      <w:r>
        <w:rPr>
          <w:sz w:val="20"/>
          <w:szCs w:val="20"/>
          <w:color w:val="auto"/>
        </w:rPr>
        <w:tab/>
      </w:r>
      <w:r>
        <w:rPr>
          <w:rFonts w:ascii="Times New Roman" w:cs="Times New Roman" w:eastAsia="Times New Roman" w:hAnsi="Times New Roman"/>
          <w:sz w:val="21"/>
          <w:szCs w:val="21"/>
          <w:color w:val="auto"/>
        </w:rPr>
        <w:t>Existing Litigation</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6.20</w:t>
      </w:r>
      <w:r>
        <w:rPr>
          <w:sz w:val="20"/>
          <w:szCs w:val="20"/>
          <w:color w:val="auto"/>
        </w:rPr>
        <w:tab/>
      </w:r>
      <w:r>
        <w:rPr>
          <w:rFonts w:ascii="Times New Roman" w:cs="Times New Roman" w:eastAsia="Times New Roman" w:hAnsi="Times New Roman"/>
          <w:sz w:val="21"/>
          <w:szCs w:val="21"/>
          <w:color w:val="auto"/>
        </w:rPr>
        <w:t>Environmental Compliance</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7.15</w:t>
      </w:r>
      <w:r>
        <w:rPr>
          <w:sz w:val="20"/>
          <w:szCs w:val="20"/>
          <w:color w:val="auto"/>
        </w:rPr>
        <w:tab/>
      </w:r>
      <w:r>
        <w:rPr>
          <w:rFonts w:ascii="Times New Roman" w:cs="Times New Roman" w:eastAsia="Times New Roman" w:hAnsi="Times New Roman"/>
          <w:sz w:val="21"/>
          <w:szCs w:val="21"/>
          <w:color w:val="auto"/>
        </w:rPr>
        <w:t>Existing Indebtedness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7.17</w:t>
      </w:r>
      <w:r>
        <w:rPr>
          <w:sz w:val="20"/>
          <w:szCs w:val="20"/>
          <w:color w:val="auto"/>
        </w:rPr>
        <w:tab/>
      </w:r>
      <w:r>
        <w:rPr>
          <w:rFonts w:ascii="Times New Roman" w:cs="Times New Roman" w:eastAsia="Times New Roman" w:hAnsi="Times New Roman"/>
          <w:sz w:val="21"/>
          <w:szCs w:val="21"/>
          <w:color w:val="auto"/>
        </w:rPr>
        <w:t>Existing Liens</w:t>
      </w:r>
    </w:p>
    <w:p>
      <w:pPr>
        <w:spacing w:after="0" w:line="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7.18</w:t>
      </w:r>
      <w:r>
        <w:rPr>
          <w:sz w:val="20"/>
          <w:szCs w:val="20"/>
          <w:color w:val="auto"/>
        </w:rPr>
        <w:tab/>
      </w:r>
      <w:r>
        <w:rPr>
          <w:rFonts w:ascii="Times New Roman" w:cs="Times New Roman" w:eastAsia="Times New Roman" w:hAnsi="Times New Roman"/>
          <w:sz w:val="21"/>
          <w:szCs w:val="21"/>
          <w:color w:val="auto"/>
        </w:rPr>
        <w:t>Existing Investments</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7.20</w:t>
      </w:r>
      <w:r>
        <w:rPr>
          <w:sz w:val="20"/>
          <w:szCs w:val="20"/>
          <w:color w:val="auto"/>
        </w:rPr>
        <w:tab/>
      </w:r>
      <w:r>
        <w:rPr>
          <w:rFonts w:ascii="Times New Roman" w:cs="Times New Roman" w:eastAsia="Times New Roman" w:hAnsi="Times New Roman"/>
          <w:sz w:val="21"/>
          <w:szCs w:val="21"/>
          <w:color w:val="auto"/>
        </w:rPr>
        <w:t>Transactions with Affiliates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A-1</w:t>
      </w:r>
      <w:r>
        <w:rPr>
          <w:sz w:val="20"/>
          <w:szCs w:val="20"/>
          <w:color w:val="auto"/>
        </w:rPr>
        <w:tab/>
      </w:r>
      <w:r>
        <w:rPr>
          <w:rFonts w:ascii="Times New Roman" w:cs="Times New Roman" w:eastAsia="Times New Roman" w:hAnsi="Times New Roman"/>
          <w:sz w:val="21"/>
          <w:szCs w:val="21"/>
          <w:color w:val="auto"/>
        </w:rPr>
        <w:t>Form of Committed Loan Notice</w:t>
      </w:r>
    </w:p>
    <w:p>
      <w:pPr>
        <w:spacing w:after="0" w:line="2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A-2</w:t>
      </w:r>
      <w:r>
        <w:rPr>
          <w:sz w:val="20"/>
          <w:szCs w:val="20"/>
          <w:color w:val="auto"/>
        </w:rPr>
        <w:tab/>
      </w:r>
      <w:r>
        <w:rPr>
          <w:rFonts w:ascii="Times New Roman" w:cs="Times New Roman" w:eastAsia="Times New Roman" w:hAnsi="Times New Roman"/>
          <w:sz w:val="21"/>
          <w:szCs w:val="21"/>
          <w:color w:val="auto"/>
        </w:rPr>
        <w:t>Form of Committed Loan Notice for Conversion or Continuation of Loans</w:t>
      </w:r>
    </w:p>
    <w:p>
      <w:pPr>
        <w:spacing w:after="0" w:line="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Term A Note</w:t>
      </w:r>
    </w:p>
    <w:p>
      <w:pPr>
        <w:spacing w:after="0" w:line="1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B-3</w:t>
      </w:r>
      <w:r>
        <w:rPr>
          <w:sz w:val="20"/>
          <w:szCs w:val="20"/>
          <w:color w:val="auto"/>
        </w:rPr>
        <w:tab/>
      </w:r>
      <w:r>
        <w:rPr>
          <w:rFonts w:ascii="Times New Roman" w:cs="Times New Roman" w:eastAsia="Times New Roman" w:hAnsi="Times New Roman"/>
          <w:sz w:val="21"/>
          <w:szCs w:val="21"/>
          <w:color w:val="auto"/>
        </w:rPr>
        <w:t>Form of Revolving Credit Note</w:t>
      </w:r>
    </w:p>
    <w:p>
      <w:pPr>
        <w:spacing w:after="0" w:line="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EXHIBIT B-4</w:t>
      </w:r>
      <w:r>
        <w:rPr>
          <w:sz w:val="20"/>
          <w:szCs w:val="20"/>
          <w:color w:val="auto"/>
        </w:rPr>
        <w:tab/>
      </w:r>
      <w:r>
        <w:rPr>
          <w:rFonts w:ascii="Times New Roman" w:cs="Times New Roman" w:eastAsia="Times New Roman" w:hAnsi="Times New Roman"/>
          <w:sz w:val="21"/>
          <w:szCs w:val="21"/>
          <w:color w:val="auto"/>
        </w:rPr>
        <w:t>Form of Swingline Note</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EXHIBIT D-1</w:t>
      </w:r>
      <w:r>
        <w:rPr>
          <w:sz w:val="20"/>
          <w:szCs w:val="20"/>
          <w:color w:val="auto"/>
        </w:rPr>
        <w:tab/>
      </w:r>
      <w:r>
        <w:rPr>
          <w:rFonts w:ascii="Times New Roman" w:cs="Times New Roman" w:eastAsia="Times New Roman" w:hAnsi="Times New Roman"/>
          <w:sz w:val="21"/>
          <w:szCs w:val="21"/>
          <w:color w:val="auto"/>
        </w:rPr>
        <w:t>Form of Certificate as to Quarterly Financial Statements</w:t>
      </w:r>
    </w:p>
    <w:p>
      <w:pPr>
        <w:spacing w:after="0" w:line="1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EXHIBIT D-2</w:t>
      </w:r>
      <w:r>
        <w:rPr>
          <w:sz w:val="20"/>
          <w:szCs w:val="20"/>
          <w:color w:val="auto"/>
        </w:rPr>
        <w:tab/>
      </w:r>
      <w:r>
        <w:rPr>
          <w:rFonts w:ascii="Times New Roman" w:cs="Times New Roman" w:eastAsia="Times New Roman" w:hAnsi="Times New Roman"/>
          <w:sz w:val="21"/>
          <w:szCs w:val="21"/>
          <w:color w:val="auto"/>
        </w:rPr>
        <w:t>Form of Certificate as to Annual Financial Statements</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Opinion of General Counsel for the Borrower and the other Loan Parties</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Opinion of Special New York Counsel to the Borrower and the other Loan Parties</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H</w:t>
      </w:r>
      <w:r>
        <w:rPr>
          <w:sz w:val="20"/>
          <w:szCs w:val="20"/>
          <w:color w:val="auto"/>
        </w:rPr>
        <w:tab/>
      </w:r>
      <w:r>
        <w:rPr>
          <w:rFonts w:ascii="Times New Roman" w:cs="Times New Roman" w:eastAsia="Times New Roman" w:hAnsi="Times New Roman"/>
          <w:sz w:val="21"/>
          <w:szCs w:val="21"/>
          <w:color w:val="auto"/>
        </w:rPr>
        <w:t>Form of Assignment and Assumption</w:t>
      </w:r>
    </w:p>
    <w:p>
      <w:pPr>
        <w:spacing w:after="0" w:line="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EXHIBIT I</w:t>
      </w:r>
      <w:r>
        <w:rPr>
          <w:sz w:val="20"/>
          <w:szCs w:val="20"/>
          <w:color w:val="auto"/>
        </w:rPr>
        <w:tab/>
      </w:r>
      <w:r>
        <w:rPr>
          <w:rFonts w:ascii="Times New Roman" w:cs="Times New Roman" w:eastAsia="Times New Roman" w:hAnsi="Times New Roman"/>
          <w:sz w:val="21"/>
          <w:szCs w:val="21"/>
          <w:color w:val="auto"/>
        </w:rPr>
        <w:t>Form of Incremental Term Supplement</w:t>
      </w:r>
    </w:p>
    <w:p>
      <w:pPr>
        <w:spacing w:after="0" w:line="1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J</w:t>
      </w:r>
      <w:r>
        <w:rPr>
          <w:sz w:val="20"/>
          <w:szCs w:val="20"/>
          <w:color w:val="auto"/>
        </w:rPr>
        <w:tab/>
      </w:r>
      <w:r>
        <w:rPr>
          <w:rFonts w:ascii="Times New Roman" w:cs="Times New Roman" w:eastAsia="Times New Roman" w:hAnsi="Times New Roman"/>
          <w:sz w:val="21"/>
          <w:szCs w:val="21"/>
          <w:color w:val="auto"/>
        </w:rPr>
        <w:t>Form of Loan Certificate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K</w:t>
      </w:r>
      <w:r>
        <w:rPr>
          <w:sz w:val="20"/>
          <w:szCs w:val="20"/>
          <w:color w:val="auto"/>
        </w:rPr>
        <w:tab/>
      </w:r>
      <w:r>
        <w:rPr>
          <w:rFonts w:ascii="Times New Roman" w:cs="Times New Roman" w:eastAsia="Times New Roman" w:hAnsi="Times New Roman"/>
          <w:sz w:val="21"/>
          <w:szCs w:val="21"/>
          <w:color w:val="auto"/>
        </w:rPr>
        <w:t>Form of Guaranty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139"/>
          </w:cols>
          <w:pgMar w:left="320" w:top="1179"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CREDIT AGREEMENT</w:t>
      </w:r>
    </w:p>
    <w:p>
      <w:pPr>
        <w:spacing w:after="0" w:line="22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This SECOND AMENDED AND RESTATED CREDIT AGREEMENT is entered into as of July 28, 2017 (this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among AMC NETWORKS INC., a </w:t>
      </w:r>
      <w:r>
        <w:rPr>
          <w:rFonts w:ascii="Times New Roman" w:cs="Times New Roman" w:eastAsia="Times New Roman" w:hAnsi="Times New Roman"/>
          <w:sz w:val="22"/>
          <w:szCs w:val="22"/>
          <w:color w:val="FF0000"/>
          <w:strike w:val="1"/>
        </w:rPr>
        <w:t>Delaware</w:t>
      </w:r>
      <w:r>
        <w:rPr>
          <w:rFonts w:ascii="Times New Roman" w:cs="Times New Roman" w:eastAsia="Times New Roman" w:hAnsi="Times New Roman"/>
          <w:sz w:val="22"/>
          <w:szCs w:val="22"/>
          <w:u w:val="single" w:color="auto"/>
          <w:color w:val="0000FF"/>
        </w:rPr>
        <w:t>Nevada</w:t>
      </w:r>
      <w:r>
        <w:rPr>
          <w:rFonts w:ascii="Times New Roman" w:cs="Times New Roman" w:eastAsia="Times New Roman" w:hAnsi="Times New Roman"/>
          <w:sz w:val="22"/>
          <w:szCs w:val="22"/>
          <w:color w:val="auto"/>
        </w:rPr>
        <w:t xml:space="preserv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AMC NETWORK ENTERTAINMENT LLC, a New York limited liability company (collectively with the Company and each Additional Borrower (as defined below),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Restricted Subsidiaries identified herein, the lenders which are parties hereto, together with their respective successors and assigns, and JPMORGAN CHASE BANK, N.A., as Administrative Agent, Collateral Agent and an L/C Issuer.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WHEREAS, the Company has requested that the Lenders provide revolving credit and term loans for the purposes set forth in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including the refinancing of, and repayment of amounts outstanding under, the First A&amp;R Credit Agreement (such term and each other capitalized term used but not defined in these recitals having the meaning ascribed thereto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this Credit Agreement);</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the Revolving Credit Facility and the Term A Facility are to be made available by the Lenders in accordance with the terms and conditions of this Credit Agreement by the funding of the loans thereunder as set forth herein;</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each of the Guarantors expects to derive benefit, directly or indirectly, from the making of the loans under the Facilities;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it is the intent of the parties hereto that this Credit Agreement not constitute a novation of the obligations and liabilities of the parties under the First A&amp;R Credit Agreement, but that this Credit Agreement amend and restate in its entirety the First A&amp;R Credit Agreement and re-evidence the obligations and liabilities of the Borrower outstanding thereunder, which shall be payable in accordance with the terms hereof; and</w:t>
      </w:r>
    </w:p>
    <w:p>
      <w:pPr>
        <w:spacing w:after="0" w:line="20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the Lenders are willing to amend and restate the First A&amp;R Credit Agreement and to make available the loans under the Facilities on the terms and conditions set forth herein.</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receipt and sufficiency of which are hereby acknowledged, the parties hereto amend and restate the First A&amp;R Credit Agreement and covenant and agree as follows:</w:t>
      </w:r>
    </w:p>
    <w:p>
      <w:pPr>
        <w:spacing w:after="0" w:line="1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-11430</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ACCOUNTING MATTERS</w:t>
      </w:r>
    </w:p>
    <w:p>
      <w:pPr>
        <w:spacing w:after="0" w:line="22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1.01</w:t>
      </w:r>
      <w:r>
        <w:rPr>
          <w:sz w:val="20"/>
          <w:szCs w:val="20"/>
          <w:color w:val="auto"/>
        </w:rPr>
        <w:tab/>
      </w:r>
      <w:r>
        <w:rPr>
          <w:rFonts w:ascii="Times New Roman" w:cs="Times New Roman" w:eastAsia="Times New Roman" w:hAnsi="Times New Roman"/>
          <w:sz w:val="21"/>
          <w:szCs w:val="21"/>
          <w:color w:val="auto"/>
        </w:rPr>
        <w:t>Certain Defined Terms. As used herein,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391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1920" cy="8890"/>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Activities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3" w:right="33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Borrower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Operating Income</w:t>
      </w:r>
      <w:r>
        <w:rPr>
          <w:rFonts w:ascii="Times New Roman" w:cs="Times New Roman" w:eastAsia="Times New Roman" w:hAnsi="Times New Roman"/>
          <w:sz w:val="22"/>
          <w:szCs w:val="22"/>
          <w:color w:val="auto"/>
        </w:rPr>
        <w:t xml:space="preserve">” means, for any period, the following for the Company and the Restricted Subsidiaries for such period, determined on a consolidated basis in accordance with GAAP: (i) aggregate operating revenues,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aggregate operating expenses (including technical, programming, sales, selling, general administrative expenses and salaries and other compensation, in each case net of amounts allocated to Affiliates, but excluding depreciation and amortization (but, for the avoidance of doubt, depreciation and amortization will not include the amortization of programming expenses (films, series, shows and other content), which is treated as an operating expense), charges and credits relating to employee stock plans, and restructuring charges and credits, and, to the extent otherwise included in operating expenses, any losses resulting from a write-off or write-down of Investments by the Company or any Restricted Subsidiary in Affiliates),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without duplication, Deferred Carriage Fee Amortization;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for purposes of determining Adjusted Operating Income for any period (A) there shall be excluded all management fees accrued by the Company or any Restricted Subsidiary during such period unless such management fees are paid in cash during such period, (B) Adjusted Operating Income for such period shall be increased by the amount of management fees paid to the Company or any Restricted Subsidiary in cash in such period to the extent previously excluded pursuant to clause (A) above, (C) the amount of Adjusted Operating Income attributable to any non-wholly owned Restricted Subsidiary shall be included only to the extent of the Company’s direct or indirect economic interest in the Equity Interests of such non-wholly owned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amount of Adjusted Operating Income attributable to all non-wholly owned Restricted Subsidiaries shall in no event exceed 10% of the total Adjusted Operating Income for such period, (D) solely to the extent subtracted in clause (ii) above, Adjusted Operating Income for such period shall be increased by the amount of loss or discount on sale of assets and any commissions, yield and other fees and charges, in each case, in connection with a Qualified Receivables Financing and (E) Adjusted Operating Income for such period shall be increased or reduced, as the case may be, by the Adjusted Operating Income of assets or businesses acquired or disposed 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it has an impact on Annual Adjusted Operating Income of at least $1,000,000) (including by means of any redesignation of any Subsidiary pursuant to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by the Company or any Restricted Subsidiary on or after the first day of such period, determined on a pro forma basis reasonably satisfactory to the Administrative Agent (it being agreed that it shall be satisfactory to the Administrative Agent that such pro forma calculations may be based upon GAAP as applied in the preparation of the financial statements for the Company, delivered in accordance with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rather than as applied in the financial statements of the Person whose assets were acquired and may include, in the Company’s discretion, a reasonable estimate of savings resulting from any such acquisition or disposition (a) that have been realized, (b) for which the steps necessary for realization have been taken, or (c) for which the steps necessary for realization are reasonably expected to be taken within 12 months of the date of such acquisition or disposition), as though the Company or such Restricted Subsidiary acquired or disposed of such assets on the first day of such period. For purposes of this definition, operating revenues and operating expenses shall exclude any non-recurring, non-cash items in excess of $2,500,000. Adjusted Operating Income may also be adjusted to normalize an acceleration of programming expenses (films, series, shows and other content) required to be recognized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22"/>
          <w:szCs w:val="22"/>
          <w:color w:val="auto"/>
        </w:rPr>
        <w:t>GAAP when the program’s useful life is shortened or otherwise changed from the originally projected useful life. Furthermore, to the extent the programs are abandoned and, to the extent that the amortization of such programming expenses are, in accordance with GAAP, required to be accelerated into the year of such impairment, the Company may treat such costs as being amortized over a period equal to the original projected useful life. In the event of any suspension of carriage by any party to an Affiliation Agreement during renewal negotiations of such Affiliation Agreement or upon the expiration or termination of, or during disputes under, such Affiliation Agreement, the Adjusted Operating Income calculation, for purposes of complying with the Financial Covenants (but not for any other purpose), may be adjusted (the “</w:t>
      </w:r>
      <w:r>
        <w:rPr>
          <w:rFonts w:ascii="Times New Roman" w:cs="Times New Roman" w:eastAsia="Times New Roman" w:hAnsi="Times New Roman"/>
          <w:sz w:val="22"/>
          <w:szCs w:val="22"/>
          <w:u w:val="single" w:color="auto"/>
          <w:color w:val="auto"/>
        </w:rPr>
        <w:t>Carriage Suspension Adjustment</w:t>
      </w:r>
      <w:r>
        <w:rPr>
          <w:rFonts w:ascii="Times New Roman" w:cs="Times New Roman" w:eastAsia="Times New Roman" w:hAnsi="Times New Roman"/>
          <w:sz w:val="22"/>
          <w:szCs w:val="22"/>
          <w:color w:val="auto"/>
        </w:rPr>
        <w:t xml:space="preserve">”) to include the affiliation fee and advertising revenue attributable to the affected Affiliation Agreement from the corresponding period one year prior to each period during which such suspension of carriage continues, but in any event not to exceed three months,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Carriage Suspension Adjustment shall be limited only to the affiliation fee and advertising revenue attributable to one Affiliation Agreement during any three-month period being tested.</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means, for purposes of any calculation, the rate per annum equal to (i) Term SOFR for such calculation plus (ii) (a) in the case of Borrowings of Revolving Credit Loans and Term A Loans, 0.10% and (b) in the case of other Borrowings, the adjustment as set forth in the applicable Incremental Term Supplement or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ever be less than the Floor, then Adjusted Term SOFR shall be deemed to be the Floor.</w:t>
      </w:r>
    </w:p>
    <w:p>
      <w:pPr>
        <w:spacing w:after="0" w:line="19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JPMorgan Chase Bank, N.A., in its capacity as administrative agent for the Lenders hereunder and its successors in such capacity.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or such other address or account as the Administrative Agent may from time to time notify to the Company and the Lenders.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which directly or indirectly controls, or is under common control with, or is controlled by, such Person. As used in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means possession, directly or indirectly, of the power to direct or cause the direction of management or policies of a Person (whether through ownership of securities or partnership or other ownership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individual shall be an Affiliate of a Person solely by reason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2" w:name="page33"/>
    <w:bookmarkEnd w:id="3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being an officer, director, manager, member or partner of such Person, except in the case of a partner or member if his or her interests in such partnership or limited liability company, as applicable, shall qualify him or her as an Affiliate.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Affiliation Agreement</w:t>
      </w:r>
      <w:r>
        <w:rPr>
          <w:rFonts w:ascii="Times New Roman" w:cs="Times New Roman" w:eastAsia="Times New Roman" w:hAnsi="Times New Roman"/>
          <w:sz w:val="22"/>
          <w:szCs w:val="22"/>
          <w:color w:val="auto"/>
        </w:rPr>
        <w:t>” means any agreement between the Company or any of its Affiliates and a distributor pursuant to which such distributor agrees, among other things, to distribute and exhibit to its subscribers programming of the Company or such Affiliate, as the case may be.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Group</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AMC</w:t>
      </w:r>
      <w:r>
        <w:rPr>
          <w:rFonts w:ascii="Times New Roman" w:cs="Times New Roman" w:eastAsia="Times New Roman" w:hAnsi="Times New Roman"/>
          <w:sz w:val="22"/>
          <w:szCs w:val="22"/>
          <w:color w:val="auto"/>
        </w:rPr>
        <w:t>” means AMC Network Entertainment LLC, a New York limited liability company.</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AMCNI</w:t>
      </w:r>
      <w:r>
        <w:rPr>
          <w:rFonts w:ascii="Times New Roman" w:cs="Times New Roman" w:eastAsia="Times New Roman" w:hAnsi="Times New Roman"/>
          <w:sz w:val="22"/>
          <w:szCs w:val="22"/>
          <w:color w:val="auto"/>
        </w:rPr>
        <w:t>” means AMC Networks International LLC (formerly AMC Acquisition Company LLC), a Delaware limited liability company.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AMC Global</w:t>
      </w:r>
      <w:r>
        <w:rPr>
          <w:rFonts w:ascii="Times New Roman" w:cs="Times New Roman" w:eastAsia="Times New Roman" w:hAnsi="Times New Roman"/>
          <w:sz w:val="22"/>
          <w:szCs w:val="22"/>
          <w:color w:val="auto"/>
        </w:rPr>
        <w:t>” means AMC Global Holdings CV, a Dutch partnership.</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means that certain Amendment No. 1 to this Credit Agreement, dated as of the Amendment No. 1 Effective Date, among the Borrower, certain subsidiaries of the Company party thereto, the lenders party thereto and JPMCB, as Administrative Agent, Collateral Agent and an L/C issuer.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means February 8, 2021.</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means that certain Amendment No. 2 to this Credit Agreement, dated as of the Amendment No. 2 Effective Date, among the Borrower, certain subsidiaries of the Borrower party thereto, the Lenders party thereto and JPMCB, as Administrative Agent, Collateral Agent and an L/C Issuer.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 Effective Date</w:t>
      </w:r>
      <w:r>
        <w:rPr>
          <w:rFonts w:ascii="Times New Roman" w:cs="Times New Roman" w:eastAsia="Times New Roman" w:hAnsi="Times New Roman"/>
          <w:sz w:val="22"/>
          <w:szCs w:val="22"/>
          <w:color w:val="auto"/>
        </w:rPr>
        <w:t>” has the meaning given to such term in Amendment No. 2.</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means that certain Amendment No. 3 to this Credit Agreement, dated as of the Amendment No. 3 Effective Date, among the Borrower, certain subsidiaries of the Borrower party thereto, the Lenders party thereto and JPMCB, as Administrative Agent, Collateral Agent and an L/C Issuer.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 Effective Date</w:t>
      </w:r>
      <w:r>
        <w:rPr>
          <w:rFonts w:ascii="Times New Roman" w:cs="Times New Roman" w:eastAsia="Times New Roman" w:hAnsi="Times New Roman"/>
          <w:sz w:val="22"/>
          <w:szCs w:val="22"/>
          <w:color w:val="auto"/>
        </w:rPr>
        <w:t>” has the meaning given to such term in Amendment No. 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 Transactions</w:t>
      </w:r>
      <w:r>
        <w:rPr>
          <w:rFonts w:ascii="Times New Roman" w:cs="Times New Roman" w:eastAsia="Times New Roman" w:hAnsi="Times New Roman"/>
          <w:sz w:val="22"/>
          <w:szCs w:val="22"/>
          <w:color w:val="auto"/>
        </w:rPr>
        <w:t>” has the meaning given to such term in Amendment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3" w:name="page34"/>
    <w:bookmarkEnd w:id="33"/>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0000FF"/>
        </w:rPr>
        <w:t xml:space="preserve">“Amendment No. 5” means that certain Amendment No. 5 to this Credit Agreement, dated as of </w:t>
      </w:r>
      <w:r>
        <w:rPr>
          <w:rFonts w:ascii="Times New Roman" w:cs="Times New Roman" w:eastAsia="Times New Roman" w:hAnsi="Times New Roman"/>
          <w:sz w:val="22"/>
          <w:szCs w:val="22"/>
          <w:u w:val="single" w:color="auto"/>
          <w:color w:val="00CC00"/>
        </w:rPr>
        <w:t>the Amendment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C00"/>
        </w:rPr>
        <w:t xml:space="preserve">No. 3 Effective Date, </w:t>
      </w:r>
      <w:r>
        <w:rPr>
          <w:rFonts w:ascii="Times New Roman" w:cs="Times New Roman" w:eastAsia="Times New Roman" w:hAnsi="Times New Roman"/>
          <w:sz w:val="22"/>
          <w:szCs w:val="22"/>
          <w:u w:val="single" w:color="auto"/>
          <w:color w:val="0000FF"/>
        </w:rPr>
        <w:t>among the Borrower, certain subsidiaries of the Borrower party thereto, the Lenders party thereto and</w:t>
      </w:r>
      <w:r>
        <w:rPr>
          <w:rFonts w:ascii="Times New Roman" w:cs="Times New Roman" w:eastAsia="Times New Roman" w:hAnsi="Times New Roman"/>
          <w:sz w:val="22"/>
          <w:szCs w:val="22"/>
          <w:u w:val="single" w:color="auto"/>
          <w:color w:val="00CC00"/>
        </w:rPr>
        <w:t xml:space="preserve"> </w:t>
      </w:r>
      <w:r>
        <w:rPr>
          <w:rFonts w:ascii="Times New Roman" w:cs="Times New Roman" w:eastAsia="Times New Roman" w:hAnsi="Times New Roman"/>
          <w:sz w:val="22"/>
          <w:szCs w:val="22"/>
          <w:u w:val="single" w:color="auto"/>
          <w:color w:val="0000FF"/>
        </w:rPr>
        <w:t>JPMCB, as Administrative Agent, Collateral Agent and an L/C Issuer.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“Amendment No. 5 Effective Date” </w:t>
      </w:r>
      <w:r>
        <w:rPr>
          <w:rFonts w:ascii="Times New Roman" w:cs="Times New Roman" w:eastAsia="Times New Roman" w:hAnsi="Times New Roman"/>
          <w:sz w:val="22"/>
          <w:szCs w:val="22"/>
          <w:u w:val="single" w:color="auto"/>
          <w:color w:val="00CC00"/>
        </w:rPr>
        <w:t>has the meaning given to such term in</w:t>
      </w:r>
      <w:r>
        <w:rPr>
          <w:rFonts w:ascii="Times New Roman" w:cs="Times New Roman" w:eastAsia="Times New Roman" w:hAnsi="Times New Roman"/>
          <w:sz w:val="22"/>
          <w:szCs w:val="22"/>
          <w:u w:val="single" w:color="auto"/>
          <w:color w:val="0000FF"/>
        </w:rPr>
        <w:t xml:space="preserve"> Amendment No. 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“Amendment No. 5 Transactions</w:t>
      </w:r>
      <w:r>
        <w:rPr>
          <w:rFonts w:ascii="Times New Roman" w:cs="Times New Roman" w:eastAsia="Times New Roman" w:hAnsi="Times New Roman"/>
          <w:sz w:val="22"/>
          <w:szCs w:val="22"/>
          <w:u w:val="single" w:color="auto"/>
          <w:color w:val="00CC00"/>
        </w:rPr>
        <w:t>” has the meaning given to</w:t>
      </w:r>
      <w:r>
        <w:rPr>
          <w:rFonts w:ascii="Times New Roman" w:cs="Times New Roman" w:eastAsia="Times New Roman" w:hAnsi="Times New Roman"/>
          <w:sz w:val="22"/>
          <w:szCs w:val="22"/>
          <w:u w:val="single" w:color="auto"/>
          <w:color w:val="0000FF"/>
        </w:rPr>
        <w:t xml:space="preserve"> such term in Amendment No. 5.</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Adjusted Operating Income</w:t>
      </w:r>
      <w:r>
        <w:rPr>
          <w:rFonts w:ascii="Times New Roman" w:cs="Times New Roman" w:eastAsia="Times New Roman" w:hAnsi="Times New Roman"/>
          <w:sz w:val="22"/>
          <w:szCs w:val="22"/>
          <w:color w:val="auto"/>
        </w:rPr>
        <w:t xml:space="preserve">” means, as of any date, Adjusted Operating Income for the period of four consecutive Quarters covered by the then most recent Compliance Certificate delivered to the Lenders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Total Interest Expense</w:t>
      </w:r>
      <w:r>
        <w:rPr>
          <w:rFonts w:ascii="Times New Roman" w:cs="Times New Roman" w:eastAsia="Times New Roman" w:hAnsi="Times New Roman"/>
          <w:sz w:val="22"/>
          <w:szCs w:val="22"/>
          <w:color w:val="auto"/>
        </w:rPr>
        <w:t xml:space="preserve">” means, as of any date, Total Interest Expense for the period of four consecutive Quarters covered by the then most recent Compliance Certificate delivered to the Lenders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published laws, rules, and regulations of any jurisdiction applicable to the Company or its Subsidiaries from time to time concerning or relating to bribery or corruption.</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(a) prior to the Amendment No. </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u w:val="single" w:color="auto"/>
          <w:color w:val="0000FF"/>
        </w:rPr>
        <w:t>5</w:t>
      </w:r>
      <w:r>
        <w:rPr>
          <w:rFonts w:ascii="Times New Roman" w:cs="Times New Roman" w:eastAsia="Times New Roman" w:hAnsi="Times New Roman"/>
          <w:sz w:val="21"/>
          <w:szCs w:val="21"/>
          <w:color w:val="auto"/>
        </w:rPr>
        <w:t xml:space="preserve"> Effective Date, in respect of the Term A Facility, with respect to any Non-Extended Term A Lender at any time, the percentage (carried out to the ninth decimal place) of the Term A Facility represented by (i) on or prior to the Closing Date, such Term A Lender’s Term A Commitment at such time and (ii) thereafter, the principal amount of such Term A Lender’s Term A Loans at such time, (b) after giving effect to the Amendment No. </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u w:val="single" w:color="auto"/>
          <w:color w:val="0000FF"/>
        </w:rPr>
        <w:t>5</w:t>
      </w:r>
      <w:r>
        <w:rPr>
          <w:rFonts w:ascii="Times New Roman" w:cs="Times New Roman" w:eastAsia="Times New Roman" w:hAnsi="Times New Roman"/>
          <w:sz w:val="21"/>
          <w:szCs w:val="21"/>
          <w:color w:val="auto"/>
        </w:rPr>
        <w:t xml:space="preserve"> Transactions after the Amendment No. </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u w:val="single" w:color="auto"/>
          <w:color w:val="0000FF"/>
        </w:rPr>
        <w:t>5</w:t>
      </w:r>
      <w:r>
        <w:rPr>
          <w:rFonts w:ascii="Times New Roman" w:cs="Times New Roman" w:eastAsia="Times New Roman" w:hAnsi="Times New Roman"/>
          <w:sz w:val="21"/>
          <w:szCs w:val="21"/>
          <w:color w:val="auto"/>
        </w:rPr>
        <w:t xml:space="preserve"> Effective Date, (i) in respect of the Non-Extended Term A Facility, with respect to any Non-Extended Term A Lender at any time, the percentage (carried out to the ninth decimal place) of the Non-Extended Term A Facility represented by the principal amount of such Non-Extended Term A Lender’s Non-Extended Term A Loans at such time and (ii) in respect of the Extended Term A Facility, with respect to any Extended Term A Lender at any time, the percentage (carried out to the ninth decimal place) of the Extended Term A Facility represented by the principal amount of such Extended Term A Lender’s Extended Term A Loans at such time, (c) in respect of any Incremental Term Facility, with respect to any Incremental Term Lender at any time, the percentage (carried out to the ninth decimal place) of such Incremental Term Facility represented by the principal amount of such Incremental Term Lender’s Incremental Term Loans at such time, </w:t>
      </w:r>
      <w:r>
        <w:rPr>
          <w:rFonts w:ascii="Times New Roman" w:cs="Times New Roman" w:eastAsia="Times New Roman" w:hAnsi="Times New Roman"/>
          <w:sz w:val="21"/>
          <w:szCs w:val="21"/>
          <w:color w:val="FF0000"/>
          <w:strike w:val="1"/>
        </w:rPr>
        <w:t>and</w:t>
      </w:r>
    </w:p>
    <w:p>
      <w:pPr>
        <w:spacing w:after="0" w:line="2" w:lineRule="exact"/>
        <w:rPr>
          <w:sz w:val="20"/>
          <w:szCs w:val="20"/>
          <w:color w:val="auto"/>
        </w:rPr>
      </w:pPr>
    </w:p>
    <w:p>
      <w:pPr>
        <w:jc w:val="both"/>
        <w:ind w:firstLine="8"/>
        <w:spacing w:after="0" w:line="247" w:lineRule="auto"/>
        <w:tabs>
          <w:tab w:leader="none" w:pos="3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any applicable</w:t>
      </w:r>
      <w:r>
        <w:rPr>
          <w:rFonts w:ascii="Times New Roman" w:cs="Times New Roman" w:eastAsia="Times New Roman" w:hAnsi="Times New Roman"/>
          <w:sz w:val="22"/>
          <w:szCs w:val="22"/>
          <w:color w:val="auto"/>
        </w:rPr>
        <w:t xml:space="preserve"> Revolving Credit Facility </w:t>
      </w:r>
      <w:r>
        <w:rPr>
          <w:rFonts w:ascii="Times New Roman" w:cs="Times New Roman" w:eastAsia="Times New Roman" w:hAnsi="Times New Roman"/>
          <w:sz w:val="22"/>
          <w:szCs w:val="22"/>
          <w:color w:val="0000FF"/>
        </w:rPr>
        <w:t>or Revolving Credit Facilities</w:t>
      </w:r>
      <w:r>
        <w:rPr>
          <w:rFonts w:ascii="Times New Roman" w:cs="Times New Roman" w:eastAsia="Times New Roman" w:hAnsi="Times New Roman"/>
          <w:sz w:val="22"/>
          <w:szCs w:val="22"/>
          <w:color w:val="auto"/>
        </w:rPr>
        <w:t xml:space="preserve">, with respect to any Revolving Credit Lender at any time, the percentage (carried out to the ninth decimal place)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Revolving Credit Facility </w:t>
      </w:r>
      <w:r>
        <w:rPr>
          <w:rFonts w:ascii="Times New Roman" w:cs="Times New Roman" w:eastAsia="Times New Roman" w:hAnsi="Times New Roman"/>
          <w:sz w:val="22"/>
          <w:szCs w:val="22"/>
          <w:u w:val="single" w:color="auto"/>
          <w:color w:val="0000FF"/>
        </w:rPr>
        <w:t>or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Credit Facilities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represented by such Revolving Credit Lender’s Revolving Credit Commitment at such time. If the commitment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each Revolving Credit Lender to make Revolving Credit Loans and the obligations of the L/C Issuers to make L/C Credit Extensions have been terminated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-695325</wp:posOffset>
            </wp:positionV>
            <wp:extent cx="1685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4" w:name="page35"/>
    <w:bookmarkEnd w:id="34"/>
    <w:p>
      <w:pPr>
        <w:jc w:val="both"/>
        <w:ind w:right="20"/>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Revolving Credit Commitments </w:t>
      </w:r>
      <w:r>
        <w:rPr>
          <w:rFonts w:ascii="Times New Roman" w:cs="Times New Roman" w:eastAsia="Times New Roman" w:hAnsi="Times New Roman"/>
          <w:sz w:val="22"/>
          <w:szCs w:val="22"/>
          <w:u w:val="single" w:color="auto"/>
          <w:color w:val="0000FF"/>
        </w:rPr>
        <w:t>of any applicable Revolving Credit Facility or Revolving Credit Facilities</w:t>
      </w:r>
      <w:r>
        <w:rPr>
          <w:rFonts w:ascii="Times New Roman" w:cs="Times New Roman" w:eastAsia="Times New Roman" w:hAnsi="Times New Roman"/>
          <w:sz w:val="22"/>
          <w:szCs w:val="22"/>
          <w:color w:val="auto"/>
        </w:rPr>
        <w:t xml:space="preserve"> have expired, then the Applicable Percentage of each Revolving Credit Lender in respect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Revolving Credit Facility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Revolving Credit Facilities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be determined based on the Applicable Percentage of such Revolving Credit Lender in respect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000000"/>
        </w:rPr>
        <w:t xml:space="preserve"> Revolving Credit Facility </w:t>
      </w:r>
      <w:r>
        <w:rPr>
          <w:rFonts w:ascii="Times New Roman" w:cs="Times New Roman" w:eastAsia="Times New Roman" w:hAnsi="Times New Roman"/>
          <w:sz w:val="22"/>
          <w:szCs w:val="22"/>
          <w:u w:val="single" w:color="auto"/>
          <w:color w:val="0000FF"/>
        </w:rPr>
        <w:t>or Revolving Credit Facilities</w:t>
      </w:r>
      <w:r>
        <w:rPr>
          <w:rFonts w:ascii="Times New Roman" w:cs="Times New Roman" w:eastAsia="Times New Roman" w:hAnsi="Times New Roman"/>
          <w:sz w:val="22"/>
          <w:szCs w:val="22"/>
          <w:color w:val="000000"/>
        </w:rPr>
        <w:t xml:space="preserve"> most recently in effect, giving effect to any subsequent assignments. The initial Applicable Percentage of each Lender in respect of each Facility as of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Effective Date, after giving effect to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Transactions, is set forth opposite the name of such Lender on </w:t>
      </w:r>
      <w:r>
        <w:rPr>
          <w:rFonts w:ascii="Times New Roman" w:cs="Times New Roman" w:eastAsia="Times New Roman" w:hAnsi="Times New Roman"/>
          <w:sz w:val="22"/>
          <w:szCs w:val="22"/>
          <w:u w:val="single" w:color="auto"/>
          <w:color w:val="000000"/>
        </w:rPr>
        <w:t>Schedule 2.01</w:t>
      </w:r>
      <w:r>
        <w:rPr>
          <w:rFonts w:ascii="Times New Roman" w:cs="Times New Roman" w:eastAsia="Times New Roman" w:hAnsi="Times New Roman"/>
          <w:sz w:val="22"/>
          <w:szCs w:val="22"/>
          <w:color w:val="000000"/>
        </w:rPr>
        <w:t xml:space="preserve"> (or, in the case of any Incremental Term Lender, on Schedule I to an Incremental Term Supplement, if any) or in the Assignment and Assumption pursuant to which such Lender becomes a party hereto, as applicable.</w:t>
      </w:r>
    </w:p>
    <w:p>
      <w:pPr>
        <w:spacing w:after="0" w:line="182"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(a) with respect to the </w:t>
      </w:r>
      <w:r>
        <w:rPr>
          <w:rFonts w:ascii="Times New Roman" w:cs="Times New Roman" w:eastAsia="Times New Roman" w:hAnsi="Times New Roman"/>
          <w:sz w:val="22"/>
          <w:szCs w:val="22"/>
          <w:color w:val="FF0000"/>
          <w:strike w:val="1"/>
        </w:rPr>
        <w:t>Extended</w:t>
      </w:r>
      <w:r>
        <w:rPr>
          <w:rFonts w:ascii="Times New Roman" w:cs="Times New Roman" w:eastAsia="Times New Roman" w:hAnsi="Times New Roman"/>
          <w:sz w:val="22"/>
          <w:szCs w:val="22"/>
          <w:color w:val="auto"/>
        </w:rPr>
        <w:t xml:space="preserve"> Term A Facility and the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000000"/>
        </w:rPr>
        <w:t>, the applicable percentage per annum set forth in the table below determined by reference to the Cash Flow</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000000"/>
        </w:rPr>
        <w:t>Section 7.01(d)</w:t>
      </w:r>
      <w:r>
        <w:rPr>
          <w:rFonts w:ascii="Times New Roman" w:cs="Times New Roman" w:eastAsia="Times New Roman" w:hAnsi="Times New Roman"/>
          <w:sz w:val="22"/>
          <w:szCs w:val="22"/>
          <w:color w:val="000000"/>
        </w:rPr>
        <w:t>:</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Pricing Level</w:t>
            </w:r>
          </w:p>
        </w:tc>
        <w:tc>
          <w:tcPr>
            <w:tcW w:w="5140" w:type="dxa"/>
            <w:vAlign w:val="bottom"/>
            <w:tcBorders>
              <w:top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Cash Flow Ratio</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SOFR (Letters of Credit)</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Base Rate</w:t>
            </w:r>
          </w:p>
        </w:tc>
      </w:tr>
      <w:tr>
        <w:trPr>
          <w:trHeight w:val="237"/>
        </w:trPr>
        <w:tc>
          <w:tcPr>
            <w:tcW w:w="2060" w:type="dxa"/>
            <w:vAlign w:val="bottom"/>
            <w:tcBorders>
              <w:left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1</w:t>
            </w:r>
          </w:p>
        </w:tc>
        <w:tc>
          <w:tcPr>
            <w:tcW w:w="5140" w:type="dxa"/>
            <w:vAlign w:val="bottom"/>
            <w:tcBorders>
              <w:right w:val="single" w:sz="8" w:color="auto"/>
            </w:tcBorders>
            <w:gridSpan w:val="3"/>
          </w:tcPr>
          <w:p>
            <w:pPr>
              <w:jc w:val="center"/>
              <w:ind w:right="40"/>
              <w:spacing w:after="0" w:line="237" w:lineRule="exact"/>
              <w:rPr>
                <w:sz w:val="20"/>
                <w:szCs w:val="20"/>
                <w:color w:val="auto"/>
              </w:rPr>
            </w:pPr>
            <w:r>
              <w:rPr>
                <w:rFonts w:ascii="Times New Roman" w:cs="Times New Roman" w:eastAsia="Times New Roman" w:hAnsi="Times New Roman"/>
                <w:sz w:val="22"/>
                <w:szCs w:val="22"/>
                <w:color w:val="auto"/>
                <w:w w:val="98"/>
              </w:rPr>
              <w:t>&lt;2.50:1.00</w:t>
            </w:r>
          </w:p>
        </w:tc>
        <w:tc>
          <w:tcPr>
            <w:tcW w:w="254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2.75%</w:t>
            </w:r>
          </w:p>
        </w:tc>
        <w:tc>
          <w:tcPr>
            <w:tcW w:w="15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1.75%</w:t>
            </w:r>
          </w:p>
        </w:tc>
      </w:tr>
      <w:tr>
        <w:trPr>
          <w:trHeight w:val="48"/>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514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&gt;2.50:100 but &lt;4.00:1.00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2.00%</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514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≥4.00:1.00 but &lt;5.00:1.00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3.25%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2.25%</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2080" w:type="dxa"/>
            <w:vAlign w:val="bottom"/>
            <w:tcBorders>
              <w:bottom w:val="single" w:sz="8" w:color="auto"/>
            </w:tcBorders>
          </w:tcPr>
          <w:p>
            <w:pPr>
              <w:spacing w:after="0"/>
              <w:rPr>
                <w:sz w:val="22"/>
                <w:szCs w:val="22"/>
                <w:color w:val="auto"/>
              </w:rPr>
            </w:pPr>
          </w:p>
        </w:tc>
        <w:tc>
          <w:tcPr>
            <w:tcW w:w="3060" w:type="dxa"/>
            <w:vAlign w:val="bottom"/>
            <w:tcBorders>
              <w:bottom w:val="single" w:sz="8" w:color="auto"/>
              <w:right w:val="single" w:sz="8" w:color="auto"/>
            </w:tcBorders>
            <w:gridSpan w:val="2"/>
          </w:tcPr>
          <w:p>
            <w:pPr>
              <w:jc w:val="center"/>
              <w:ind w:right="2100"/>
              <w:spacing w:after="0"/>
              <w:rPr>
                <w:sz w:val="20"/>
                <w:szCs w:val="20"/>
                <w:color w:val="auto"/>
              </w:rPr>
            </w:pPr>
            <w:r>
              <w:rPr>
                <w:rFonts w:ascii="Times New Roman" w:cs="Times New Roman" w:eastAsia="Times New Roman" w:hAnsi="Times New Roman"/>
                <w:sz w:val="22"/>
                <w:szCs w:val="22"/>
                <w:color w:val="auto"/>
                <w:w w:val="96"/>
              </w:rPr>
              <w:t>≥5.00:1.00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3.50%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2.50%</w:t>
            </w:r>
          </w:p>
        </w:tc>
      </w:tr>
    </w:tbl>
    <w:p>
      <w:pPr>
        <w:spacing w:after="0" w:line="310" w:lineRule="exact"/>
        <w:rPr>
          <w:sz w:val="20"/>
          <w:szCs w:val="20"/>
          <w:color w:val="auto"/>
        </w:rPr>
      </w:pPr>
    </w:p>
    <w:p>
      <w:pPr>
        <w:jc w:val="both"/>
        <w:ind w:right="20" w:firstLine="8"/>
        <w:spacing w:after="0" w:line="253" w:lineRule="auto"/>
        <w:tabs>
          <w:tab w:leader="none" w:pos="355" w:val="left"/>
        </w:tabs>
        <w:numPr>
          <w:ilvl w:val="0"/>
          <w:numId w:val="13"/>
        </w:numPr>
        <w:rPr>
          <w:rFonts w:ascii="Times New Roman" w:cs="Times New Roman" w:eastAsia="Times New Roman" w:hAnsi="Times New Roman"/>
          <w:sz w:val="22"/>
          <w:szCs w:val="22"/>
          <w:color w:val="00CC00"/>
          <w:strike w:val="1"/>
        </w:rPr>
      </w:pPr>
      <w:r>
        <w:rPr>
          <w:rFonts w:ascii="Times New Roman" w:cs="Times New Roman" w:eastAsia="Times New Roman" w:hAnsi="Times New Roman"/>
          <w:sz w:val="22"/>
          <w:szCs w:val="22"/>
          <w:color w:val="00CC00"/>
          <w:strike w:val="1"/>
        </w:rPr>
        <w:t xml:space="preserve">with respect to the Non-Extended </w:t>
      </w:r>
      <w:r>
        <w:rPr>
          <w:rFonts w:ascii="Times New Roman" w:cs="Times New Roman" w:eastAsia="Times New Roman" w:hAnsi="Times New Roman"/>
          <w:sz w:val="22"/>
          <w:szCs w:val="22"/>
          <w:color w:val="FF0000"/>
          <w:strike w:val="1"/>
        </w:rPr>
        <w:t>Term A Facility, the applicable percentage per annum set forth in the table below</w:t>
      </w:r>
      <w:r>
        <w:rPr>
          <w:rFonts w:ascii="Times New Roman" w:cs="Times New Roman" w:eastAsia="Times New Roman" w:hAnsi="Times New Roman"/>
          <w:sz w:val="22"/>
          <w:szCs w:val="22"/>
          <w:color w:val="00CC00"/>
          <w:strike w:val="1"/>
        </w:rPr>
        <w:t xml:space="preserve"> </w:t>
      </w:r>
      <w:r>
        <w:rPr>
          <w:rFonts w:ascii="Times New Roman" w:cs="Times New Roman" w:eastAsia="Times New Roman" w:hAnsi="Times New Roman"/>
          <w:sz w:val="22"/>
          <w:szCs w:val="22"/>
          <w:color w:val="FF0000"/>
          <w:strike w:val="1"/>
        </w:rPr>
        <w:t xml:space="preserve">determined by reference to the Cash Flow 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FF0000"/>
          <w:strike w:val="1"/>
        </w:rPr>
        <w:t>Section 7.01(d)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for the period of six months after the Closing Date, the Applicable Rate </w:t>
      </w:r>
      <w:r>
        <w:rPr>
          <w:rFonts w:ascii="Times New Roman" w:cs="Times New Roman" w:eastAsia="Times New Roman" w:hAnsi="Times New Roman"/>
          <w:sz w:val="22"/>
          <w:szCs w:val="22"/>
          <w:color w:val="00CC00"/>
          <w:strike w:val="1"/>
        </w:rPr>
        <w:t>with respect to the Non-Extended Term A Facility</w:t>
      </w:r>
      <w:r>
        <w:rPr>
          <w:rFonts w:ascii="Times New Roman" w:cs="Times New Roman" w:eastAsia="Times New Roman" w:hAnsi="Times New Roman"/>
          <w:sz w:val="22"/>
          <w:szCs w:val="22"/>
          <w:color w:val="FF0000"/>
          <w:strike w:val="1"/>
        </w:rPr>
        <w:t xml:space="preserve"> shall be 0.50% per annum for Base Rate Loans and 1.50% per annum for SOFR Loans:</w:t>
      </w:r>
    </w:p>
    <w:p>
      <w:pPr>
        <w:spacing w:after="0" w:line="215" w:lineRule="exact"/>
        <w:rPr>
          <w:sz w:val="20"/>
          <w:szCs w:val="20"/>
          <w:color w:val="auto"/>
        </w:rPr>
      </w:pPr>
    </w:p>
    <w:tbl>
      <w:tblPr>
        <w:tblLayout w:type="fixed"/>
        <w:tblInd w:w="420" w:type="dxa"/>
        <w:tblCellMar>
          <w:top w:w="0" w:type="dxa"/>
          <w:left w:w="0" w:type="dxa"/>
          <w:bottom w:w="0" w:type="dxa"/>
          <w:right w:w="0" w:type="dxa"/>
        </w:tblCellMar>
      </w:tblPr>
      <w:tr>
        <w:trPr>
          <w:trHeight w:val="286"/>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FF0000"/>
                <w:strike w:val="1"/>
                <w:w w:val="97"/>
              </w:rPr>
              <w:t>Pricing Level</w:t>
            </w:r>
          </w:p>
        </w:tc>
        <w:tc>
          <w:tcPr>
            <w:tcW w:w="396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FF0000"/>
                <w:strike w:val="1"/>
                <w:w w:val="97"/>
              </w:rPr>
              <w:t>Cash Flow Ratio</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b w:val="1"/>
                <w:bCs w:val="1"/>
                <w:color w:val="FF0000"/>
                <w:strike w:val="1"/>
                <w:w w:val="98"/>
              </w:rPr>
              <w:t>SOFR (Letters of Credit)</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FF0000"/>
                <w:strike w:val="1"/>
                <w:w w:val="96"/>
              </w:rPr>
              <w:t>Base Rate</w:t>
            </w:r>
          </w:p>
        </w:tc>
      </w:tr>
      <w:tr>
        <w:trPr>
          <w:trHeight w:val="311"/>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FF0000"/>
                <w:strike w:val="1"/>
                <w:w w:val="90"/>
              </w:rPr>
              <w:t>1</w:t>
            </w:r>
          </w:p>
        </w:tc>
        <w:tc>
          <w:tcPr>
            <w:tcW w:w="3960" w:type="dxa"/>
            <w:vAlign w:val="bottom"/>
          </w:tcPr>
          <w:p>
            <w:pPr>
              <w:jc w:val="center"/>
              <w:ind w:left="32"/>
              <w:spacing w:after="0"/>
              <w:rPr>
                <w:sz w:val="20"/>
                <w:szCs w:val="20"/>
                <w:color w:val="auto"/>
              </w:rPr>
            </w:pPr>
            <w:r>
              <w:rPr>
                <w:rFonts w:ascii="Times New Roman" w:cs="Times New Roman" w:eastAsia="Times New Roman" w:hAnsi="Times New Roman"/>
                <w:sz w:val="22"/>
                <w:szCs w:val="22"/>
                <w:u w:val="single" w:color="auto"/>
                <w:color w:val="FF0000"/>
                <w:w w:val="98"/>
              </w:rPr>
              <w:t>&lt;</w:t>
            </w:r>
            <w:r>
              <w:rPr>
                <w:rFonts w:ascii="Times New Roman" w:cs="Times New Roman" w:eastAsia="Times New Roman" w:hAnsi="Times New Roman"/>
                <w:sz w:val="22"/>
                <w:szCs w:val="22"/>
                <w:color w:val="FF0000"/>
                <w:w w:val="98"/>
              </w:rPr>
              <w:t>2.50:1.00</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FF0000"/>
                <w:strike w:val="1"/>
                <w:w w:val="98"/>
              </w:rPr>
              <w:t>1.25%</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4"/>
              </w:rPr>
              <w:t>0.25%</w:t>
            </w:r>
          </w:p>
        </w:tc>
      </w:tr>
      <w:tr>
        <w:trPr>
          <w:trHeight w:val="297"/>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FF0000"/>
                <w:strike w:val="1"/>
                <w:w w:val="90"/>
              </w:rPr>
              <w:t>2</w:t>
            </w:r>
          </w:p>
        </w:tc>
        <w:tc>
          <w:tcPr>
            <w:tcW w:w="396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7"/>
              </w:rPr>
              <w:t>&gt;2.50:100 but &lt;4.00:1.00</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FF0000"/>
                <w:strike w:val="1"/>
                <w:w w:val="98"/>
              </w:rPr>
              <w:t>1.50%</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4"/>
              </w:rPr>
              <w:t>0.50%</w:t>
            </w:r>
          </w:p>
        </w:tc>
      </w:tr>
      <w:tr>
        <w:trPr>
          <w:trHeight w:val="284"/>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FF0000"/>
                <w:strike w:val="1"/>
                <w:w w:val="90"/>
              </w:rPr>
              <w:t>3</w:t>
            </w:r>
          </w:p>
        </w:tc>
        <w:tc>
          <w:tcPr>
            <w:tcW w:w="396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7"/>
              </w:rPr>
              <w:t>≥4.00:1.00 but &lt;5.00:1.00</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FF0000"/>
                <w:strike w:val="1"/>
                <w:w w:val="98"/>
              </w:rPr>
              <w:t>1.75%</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4"/>
              </w:rPr>
              <w:t>0.75%</w:t>
            </w:r>
          </w:p>
        </w:tc>
      </w:tr>
      <w:tr>
        <w:trPr>
          <w:trHeight w:val="283"/>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FF0000"/>
                <w:strike w:val="1"/>
                <w:w w:val="90"/>
              </w:rPr>
              <w:t>4</w:t>
            </w:r>
          </w:p>
        </w:tc>
        <w:tc>
          <w:tcPr>
            <w:tcW w:w="396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7"/>
              </w:rPr>
              <w:t>≥5.00:1.00 but &lt;5.75:1.00</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FF0000"/>
                <w:strike w:val="1"/>
                <w:w w:val="98"/>
              </w:rPr>
              <w:t>2.00%</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4"/>
              </w:rPr>
              <w:t>1.00%</w:t>
            </w:r>
          </w:p>
        </w:tc>
      </w:tr>
      <w:tr>
        <w:trPr>
          <w:trHeight w:val="283"/>
        </w:trPr>
        <w:tc>
          <w:tcPr>
            <w:tcW w:w="214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FF0000"/>
                <w:strike w:val="1"/>
                <w:w w:val="90"/>
              </w:rPr>
              <w:t>5</w:t>
            </w:r>
          </w:p>
        </w:tc>
        <w:tc>
          <w:tcPr>
            <w:tcW w:w="396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6"/>
              </w:rPr>
              <w:t>≥5.75:1.00</w:t>
            </w:r>
          </w:p>
        </w:tc>
        <w:tc>
          <w:tcPr>
            <w:tcW w:w="33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FF0000"/>
                <w:strike w:val="1"/>
                <w:w w:val="98"/>
              </w:rPr>
              <w:t>2.25%</w:t>
            </w:r>
          </w:p>
        </w:tc>
        <w:tc>
          <w:tcPr>
            <w:tcW w:w="11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4"/>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-1104265</wp:posOffset>
            </wp:positionV>
            <wp:extent cx="7140575" cy="1114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w:t>
      </w:r>
      <w:r>
        <w:rPr>
          <w:rFonts w:ascii="Times New Roman" w:cs="Times New Roman" w:eastAsia="Times New Roman" w:hAnsi="Times New Roman"/>
          <w:sz w:val="21"/>
          <w:szCs w:val="21"/>
          <w:color w:val="FF0000"/>
          <w:strike w:val="1"/>
        </w:rPr>
        <w:t>c</w:t>
      </w:r>
      <w:r>
        <w:rPr>
          <w:rFonts w:ascii="Times New Roman" w:cs="Times New Roman" w:eastAsia="Times New Roman" w:hAnsi="Times New Roman"/>
          <w:sz w:val="21"/>
          <w:szCs w:val="21"/>
          <w:u w:val="single" w:color="auto"/>
          <w:color w:val="0000FF"/>
        </w:rPr>
        <w:t>b</w:t>
      </w:r>
      <w:r>
        <w:rPr>
          <w:rFonts w:ascii="Times New Roman" w:cs="Times New Roman" w:eastAsia="Times New Roman" w:hAnsi="Times New Roman"/>
          <w:sz w:val="21"/>
          <w:szCs w:val="21"/>
          <w:color w:val="auto"/>
        </w:rPr>
        <w:t>) with respect to an Incremental Term Facility, the rate specified as such in the applicable Incremental Term Supplement.</w:t>
      </w:r>
    </w:p>
    <w:p>
      <w:pPr>
        <w:spacing w:after="0" w:line="23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Any increase or decrease in the Applicable Rate with respect to the Term A </w:t>
      </w:r>
      <w:r>
        <w:rPr>
          <w:rFonts w:ascii="Times New Roman" w:cs="Times New Roman" w:eastAsia="Times New Roman" w:hAnsi="Times New Roman"/>
          <w:sz w:val="22"/>
          <w:szCs w:val="22"/>
          <w:color w:val="FF0000"/>
          <w:strike w:val="1"/>
        </w:rPr>
        <w:t>Facilities</w:t>
      </w:r>
      <w:r>
        <w:rPr>
          <w:rFonts w:ascii="Times New Roman" w:cs="Times New Roman" w:eastAsia="Times New Roman" w:hAnsi="Times New Roman"/>
          <w:sz w:val="22"/>
          <w:szCs w:val="22"/>
          <w:u w:val="single" w:color="auto"/>
          <w:color w:val="0000FF"/>
        </w:rPr>
        <w:t>Facility</w:t>
      </w:r>
      <w:r>
        <w:rPr>
          <w:rFonts w:ascii="Times New Roman" w:cs="Times New Roman" w:eastAsia="Times New Roman" w:hAnsi="Times New Roman"/>
          <w:sz w:val="22"/>
          <w:szCs w:val="22"/>
          <w:color w:val="auto"/>
        </w:rPr>
        <w:t xml:space="preserve"> and Revolving Credit Facility resulting from a change in the Cash Flow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60"/>
          </w:cols>
          <w:pgMar w:left="320" w:top="1287" w:right="319" w:bottom="1440" w:gutter="0" w:footer="0" w:header="0"/>
        </w:sectPr>
      </w:pPr>
    </w:p>
    <w:bookmarkStart w:id="35" w:name="page36"/>
    <w:bookmarkEnd w:id="3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shall become effective as of the </w:t>
      </w:r>
      <w:r>
        <w:rPr>
          <w:rFonts w:ascii="Times New Roman" w:cs="Times New Roman" w:eastAsia="Times New Roman" w:hAnsi="Times New Roman"/>
          <w:sz w:val="22"/>
          <w:szCs w:val="22"/>
          <w:color w:val="FF0000"/>
          <w:strike w:val="1"/>
        </w:rPr>
        <w:t>first</w:t>
      </w:r>
      <w:r>
        <w:rPr>
          <w:rFonts w:ascii="Times New Roman" w:cs="Times New Roman" w:eastAsia="Times New Roman" w:hAnsi="Times New Roman"/>
          <w:sz w:val="22"/>
          <w:szCs w:val="22"/>
          <w:u w:val="single" w:color="auto"/>
          <w:color w:val="0000FF"/>
        </w:rPr>
        <w:t>third</w:t>
      </w:r>
      <w:r>
        <w:rPr>
          <w:rFonts w:ascii="Times New Roman" w:cs="Times New Roman" w:eastAsia="Times New Roman" w:hAnsi="Times New Roman"/>
          <w:sz w:val="22"/>
          <w:szCs w:val="22"/>
          <w:color w:val="auto"/>
        </w:rPr>
        <w:t xml:space="preserve"> Business Day </w:t>
      </w:r>
      <w:r>
        <w:rPr>
          <w:rFonts w:ascii="Times New Roman" w:cs="Times New Roman" w:eastAsia="Times New Roman" w:hAnsi="Times New Roman"/>
          <w:sz w:val="22"/>
          <w:szCs w:val="22"/>
          <w:color w:val="FF0000"/>
          <w:strike w:val="1"/>
        </w:rPr>
        <w:t>immediately</w:t>
      </w:r>
      <w:r>
        <w:rPr>
          <w:rFonts w:ascii="Times New Roman" w:cs="Times New Roman" w:eastAsia="Times New Roman" w:hAnsi="Times New Roman"/>
          <w:sz w:val="22"/>
          <w:szCs w:val="22"/>
          <w:color w:val="auto"/>
        </w:rPr>
        <w:t xml:space="preserve"> following the date a Compliance Certificate is delivered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 Compliance Certificate is not delivered when due in accordance with such Section, then Pricing Level 4 shall apply in respect of </w:t>
      </w:r>
      <w:r>
        <w:rPr>
          <w:rFonts w:ascii="Times New Roman" w:cs="Times New Roman" w:eastAsia="Times New Roman" w:hAnsi="Times New Roman"/>
          <w:sz w:val="22"/>
          <w:szCs w:val="22"/>
          <w:color w:val="FF0000"/>
          <w:strike w:val="1"/>
        </w:rPr>
        <w:t>the Extended</w:t>
      </w:r>
      <w:r>
        <w:rPr>
          <w:rFonts w:ascii="Times New Roman" w:cs="Times New Roman" w:eastAsia="Times New Roman" w:hAnsi="Times New Roman"/>
          <w:sz w:val="22"/>
          <w:szCs w:val="22"/>
          <w:u w:val="single" w:color="auto"/>
          <w:color w:val="0000FF"/>
        </w:rPr>
        <w:t>each</w:t>
      </w:r>
      <w:r>
        <w:rPr>
          <w:rFonts w:ascii="Times New Roman" w:cs="Times New Roman" w:eastAsia="Times New Roman" w:hAnsi="Times New Roman"/>
          <w:sz w:val="22"/>
          <w:szCs w:val="22"/>
          <w:color w:val="auto"/>
        </w:rPr>
        <w:t xml:space="preserve"> Term A Facility and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each</w:t>
      </w:r>
      <w:r>
        <w:rPr>
          <w:rFonts w:ascii="Times New Roman" w:cs="Times New Roman" w:eastAsia="Times New Roman" w:hAnsi="Times New Roman"/>
          <w:sz w:val="22"/>
          <w:szCs w:val="22"/>
          <w:color w:val="auto"/>
        </w:rPr>
        <w:t xml:space="preserve"> Revolving Credit </w:t>
      </w:r>
      <w:r>
        <w:rPr>
          <w:rFonts w:ascii="Times New Roman" w:cs="Times New Roman" w:eastAsia="Times New Roman" w:hAnsi="Times New Roman"/>
          <w:sz w:val="22"/>
          <w:szCs w:val="22"/>
          <w:color w:val="FF0000"/>
          <w:strike w:val="1"/>
        </w:rPr>
        <w:t>Facility and Pricing Level 5 shall apply in respect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C00"/>
          <w:strike w:val="1"/>
        </w:rPr>
        <w:t>of the Non-Extended Term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Facility as of the first Business Day after the date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on which such Compliance Certificate was required to have been delivered.</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Revolving Credit Percentage</w:t>
      </w:r>
      <w:r>
        <w:rPr>
          <w:rFonts w:ascii="Times New Roman" w:cs="Times New Roman" w:eastAsia="Times New Roman" w:hAnsi="Times New Roman"/>
          <w:sz w:val="22"/>
          <w:szCs w:val="22"/>
          <w:color w:val="auto"/>
        </w:rPr>
        <w:t xml:space="preserve">” means with respect to any Revolving Credit Lender at any time, such Revolving Credit Lender’s Applicable Percentage in respect of the </w:t>
      </w:r>
      <w:r>
        <w:rPr>
          <w:rFonts w:ascii="Times New Roman" w:cs="Times New Roman" w:eastAsia="Times New Roman" w:hAnsi="Times New Roman"/>
          <w:sz w:val="22"/>
          <w:szCs w:val="22"/>
          <w:u w:val="single" w:color="auto"/>
          <w:color w:val="0000FF"/>
        </w:rPr>
        <w:t>applicable</w:t>
      </w:r>
      <w:r>
        <w:rPr>
          <w:rFonts w:ascii="Times New Roman" w:cs="Times New Roman" w:eastAsia="Times New Roman" w:hAnsi="Times New Roman"/>
          <w:sz w:val="22"/>
          <w:szCs w:val="22"/>
          <w:color w:val="auto"/>
        </w:rPr>
        <w:t xml:space="preserve"> Revolving Credit Facility </w:t>
      </w:r>
      <w:r>
        <w:rPr>
          <w:rFonts w:ascii="Times New Roman" w:cs="Times New Roman" w:eastAsia="Times New Roman" w:hAnsi="Times New Roman"/>
          <w:sz w:val="22"/>
          <w:szCs w:val="22"/>
          <w:u w:val="single" w:color="auto"/>
          <w:color w:val="0000FF"/>
        </w:rPr>
        <w:t>or Revolving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at such time.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Lender</w:t>
      </w:r>
      <w:r>
        <w:rPr>
          <w:rFonts w:ascii="Times New Roman" w:cs="Times New Roman" w:eastAsia="Times New Roman" w:hAnsi="Times New Roman"/>
          <w:sz w:val="22"/>
          <w:szCs w:val="22"/>
          <w:color w:val="auto"/>
        </w:rPr>
        <w:t xml:space="preserve">” means, at any time, (a) with respect to any of the Non-Extended Term A Facility, Extended Term A Facility, Revolving Credit Facility or Incremental Term Facility, if any, a Lender that has a Commitment with respect to such Facility or holds a Non-Extended Term A Loan, Extended Term A Loan, Revolving Credit Loan or Incremental Term Loan, if any, respectively, at such time, (b) with respect to the Swingline Sublimit, the Swingline Lender, and (c) with respect to the Letter of Credit Sublimit, (i) the L/C Issuers and (ii) if any Letters of Credit have been issued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the Revolving Credit Lenders.</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Communications</w:t>
      </w:r>
      <w:r>
        <w:rPr>
          <w:rFonts w:ascii="Times New Roman" w:cs="Times New Roman" w:eastAsia="Times New Roman" w:hAnsi="Times New Roman"/>
          <w:sz w:val="22"/>
          <w:szCs w:val="22"/>
          <w:color w:val="auto"/>
        </w:rPr>
        <w:t xml:space="preserve">” means, for purposes of identifying all Communications which may be made on the Approved Electronic Platform, each Communication that any Loan Party is obligated to, or otherwise chooses to, provide to the Administrative Agent pursuant to any Loan Document or the transactions contemplated therein, including any financial statement, financial or other report, notice, request, certificate or other information material;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solely with respect to delivery of any such Communication by any Loan Party to the Administrative Agent and without limiting or otherwise affecting either the Administrative Agent’s right to effect delivery of such Communication by posting such Communication to the Approved Electronic Platform or the protections afforded hereby to the Administrative Agent in connection with any such posting, “</w:t>
      </w:r>
      <w:r>
        <w:rPr>
          <w:rFonts w:ascii="Times New Roman" w:cs="Times New Roman" w:eastAsia="Times New Roman" w:hAnsi="Times New Roman"/>
          <w:sz w:val="22"/>
          <w:szCs w:val="22"/>
          <w:u w:val="single" w:color="auto"/>
          <w:color w:val="auto"/>
        </w:rPr>
        <w:t>Approved Electronic Communication</w:t>
      </w:r>
      <w:r>
        <w:rPr>
          <w:rFonts w:ascii="Times New Roman" w:cs="Times New Roman" w:eastAsia="Times New Roman" w:hAnsi="Times New Roman"/>
          <w:sz w:val="22"/>
          <w:szCs w:val="22"/>
          <w:color w:val="auto"/>
        </w:rPr>
        <w:t xml:space="preserve">” shall exclude (i) any notice of borrowing, letter of credit request, swingline loan request, notice of conversion or continuation, and any other notice, demand, communication, information, document or other material relating to a request for a new, or a conversion of an existing, Borrowing, (ii) any notice pursuant to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and any other notice relating to the payment of any principal or other amount due under any Loan Document prior to the scheduled date therefor, (iii) all notices of any Default or Event of Default and (iv) any notice, demand, communication, information, document or other material required to be delivered to satisfy any of the conditions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condition to any Borrowing or other extension of credit hereunder or any condition precedent to the effectiveness of this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avoidance of doubt any such excluded Communication listed in clause (i) through clause (iv) may be made by electronic mail as provided in </w:t>
      </w:r>
      <w:r>
        <w:rPr>
          <w:rFonts w:ascii="Times New Roman" w:cs="Times New Roman" w:eastAsia="Times New Roman" w:hAnsi="Times New Roman"/>
          <w:sz w:val="22"/>
          <w:szCs w:val="22"/>
          <w:u w:val="single" w:color="auto"/>
          <w:color w:val="auto"/>
        </w:rPr>
        <w:t>Section 10.02(b)(iv)</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10.02(d)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6" w:name="page37"/>
    <w:bookmarkEnd w:id="36"/>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Arrangement Fee Letters</w:t>
      </w:r>
      <w:r>
        <w:rPr>
          <w:rFonts w:ascii="Times New Roman" w:cs="Times New Roman" w:eastAsia="Times New Roman" w:hAnsi="Times New Roman"/>
          <w:sz w:val="22"/>
          <w:szCs w:val="22"/>
          <w:color w:val="auto"/>
        </w:rPr>
        <w:t>” means (i) the Arrangement Fee Letter, dated July 25, 2017, between the Company and Merrill Lynch, Pierce Fenner &amp; Smith Incorporated and (ii) the Arrangement Fee Letter, dated July 25, 2017, between the Company and JPMCB.</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 Group</w:t>
      </w:r>
      <w:r>
        <w:rPr>
          <w:rFonts w:ascii="Times New Roman" w:cs="Times New Roman" w:eastAsia="Times New Roman" w:hAnsi="Times New Roman"/>
          <w:sz w:val="22"/>
          <w:szCs w:val="22"/>
          <w:color w:val="auto"/>
        </w:rPr>
        <w:t>” means two or more Eligible Assignees that are Affiliates of one another or two or more Approved Funds managed by the same investment advisor.</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xml:space="preserve">” means in respect of the Revolving Credit Facility, the period from and including the Amendment No. 3 Effective Date (after giving effect to the Existing Revolving Facility Termination (as defined in Amendment No. 3)) to the earliest of (i) the Maturity Date for the Revolving Credit Facility, (ii) the date of termination of the Revolving Credit Commitments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(iii) the date of termination of the commitment of each Revolving Credit Lender to make Revolving Credit Loans and of the obligation of each L/C Issuer to make L/C Credit Extensions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Credit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22"/>
          <w:szCs w:val="22"/>
          <w:u w:val="single" w:color="auto"/>
          <w:color w:val="auto"/>
        </w:rPr>
        <w:t>Section 3.03.</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1" w:lineRule="exact"/>
        <w:rPr>
          <w:sz w:val="20"/>
          <w:szCs w:val="20"/>
          <w:color w:val="auto"/>
        </w:rPr>
      </w:pPr>
    </w:p>
    <w:p>
      <w:pPr>
        <w:jc w:val="both"/>
        <w:ind w:right="20" w:firstLine="8"/>
        <w:spacing w:after="0" w:line="245" w:lineRule="auto"/>
        <w:tabs>
          <w:tab w:leader="none" w:pos="3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Part I of the United Kingdom Banking Act 2009 (as amended from time to time) and any other Law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 national banking association.</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8"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means, for any day, a fluctuating rate per annum equal to the greatest of (a) the Prime Rate in effect on such day, (b) the Federal Funds Rate in effect on such day plus 0.50%, (c) Adjusted Term SOFR for an Interest Period of one</w:t>
      </w:r>
    </w:p>
    <w:p>
      <w:pPr>
        <w:spacing w:after="0" w:line="2" w:lineRule="exact"/>
        <w:rPr>
          <w:sz w:val="20"/>
          <w:szCs w:val="20"/>
          <w:color w:val="auto"/>
        </w:rPr>
      </w:pPr>
    </w:p>
    <w:p>
      <w:pPr>
        <w:jc w:val="both"/>
        <w:ind w:firstLine="8"/>
        <w:spacing w:after="0" w:line="246" w:lineRule="auto"/>
        <w:tabs>
          <w:tab w:leader="none" w:pos="30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as published two U.S. Government Securities Business Days prior to such day (or if such day is not a U.S. Government Securities Business Day, on the immediately preceding U.S. Government Securities Business Day) plus 1.00% and (d)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 of this definition, Adjusted Term SOFR for any day shall be based on Term SOFR at approximately 6:00 a.m. New York City time on such day (or any amended publication time for Term SOFR, as specified by the SOFR Administrator in the Term SOFR methodology). If the Administrative Agent shall have determined (which determination shall be conclusive absent manifest error) that it is unable to ascertain the Federal Funds Rate or Term SOFR for any reason, including the inability or failure of the Administrative Agent to obtain sufficient quotations in accordance with the terms of the definition thereof, the Base Rate shall be determined without regard to clause (b) or (c), as applicable, of the preceding sentence until the circumstances giving rise to such inability no longer exist. Any change in the Base Rate due to a change in the Prime Rate, the Federal Funds Rate or Adjusted Term SOFR shall be effective on the effective date of such change in the Prime Rate, the Federal Funds Rate or Adjusted Term SOFR, respectively. If the Base Rate is being used as an alternate rate of interest pursuant to Section 3.03 (for the avoidance of doubt, only until the Benchmark Replacement has been determined pursuant to Section 3.03(b), then the Base Rate shall be the greatest of clauses (a), (b) and (d) above and shall be determined without reference to clause (c) above.</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xml:space="preserve">” means a Revolving Credit Loan, </w:t>
      </w:r>
      <w:r>
        <w:rPr>
          <w:rFonts w:ascii="Times New Roman" w:cs="Times New Roman" w:eastAsia="Times New Roman" w:hAnsi="Times New Roman"/>
          <w:sz w:val="22"/>
          <w:szCs w:val="22"/>
          <w:color w:val="FF0000"/>
          <w:strike w:val="1"/>
        </w:rPr>
        <w:t>Non-Extended Term A Loan, Extended</w:t>
      </w:r>
      <w:r>
        <w:rPr>
          <w:rFonts w:ascii="Times New Roman" w:cs="Times New Roman" w:eastAsia="Times New Roman" w:hAnsi="Times New Roman"/>
          <w:sz w:val="22"/>
          <w:szCs w:val="22"/>
          <w:color w:val="auto"/>
        </w:rPr>
        <w:t xml:space="preserve"> Term A Loan, Swingline Loan or Incremental Term Loan, if any, that bears interest based on the Base Rate.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Term SOFR or the then-current Benchmark, then “Benchmark” means the applicable Benchmark Replacement to the extent that such Benchmark Replacement has replaced such prior benchmark rate pursuant to Section 3.03.</w:t>
      </w:r>
    </w:p>
    <w:p>
      <w:pPr>
        <w:spacing w:after="0" w:line="19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 the sum of (a) Daily Simple SOFR and (b) the related Benchmark Replacement Adjustment;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8" w:name="page39"/>
    <w:bookmarkEnd w:id="38"/>
    <w:p>
      <w:pPr>
        <w:jc w:val="both"/>
        <w:ind w:firstLine="1304"/>
        <w:spacing w:after="0" w:line="251" w:lineRule="auto"/>
        <w:tabs>
          <w:tab w:leader="none" w:pos="16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and the Borrower (and that is administratively feasible as determined by the Administrative Agent)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in the United States and (b) the related Benchmark Replacement Adjustment;</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pursuant to </w:t>
      </w:r>
      <w:r>
        <w:rPr>
          <w:rFonts w:ascii="Times New Roman" w:cs="Times New Roman" w:eastAsia="Times New Roman" w:hAnsi="Times New Roman"/>
          <w:sz w:val="22"/>
          <w:szCs w:val="22"/>
          <w:u w:val="single" w:color="auto"/>
          <w:color w:val="auto"/>
        </w:rPr>
        <w:t>clauses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above would be less than the Floor, such Benchmark Replacement will be deemed to be the Floor for the purposes of this Credit Agreement and the other Loan Documents.</w:t>
      </w:r>
    </w:p>
    <w:p>
      <w:pPr>
        <w:spacing w:after="0" w:line="6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any such rate exists, in such other manner of administration as (x) the Administrative Agent decides is reasonably necessary in connection with the administration of this Credit Agreement and the other Loan Documents and (y) the Administrative Agent determines is administratively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39" w:name="page40"/>
    <w:bookmarkEnd w:id="39"/>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8" w:lineRule="exact"/>
        <w:rPr>
          <w:sz w:val="20"/>
          <w:szCs w:val="20"/>
          <w:color w:val="auto"/>
        </w:rPr>
      </w:pPr>
    </w:p>
    <w:p>
      <w:pPr>
        <w:jc w:val="both"/>
        <w:ind w:firstLine="1304"/>
        <w:spacing w:after="0" w:line="256" w:lineRule="auto"/>
        <w:tabs>
          <w:tab w:leader="none" w:pos="178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58"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1"/>
          <w:szCs w:val="21"/>
          <w:u w:val="single" w:color="auto"/>
          <w:color w:val="auto"/>
        </w:rPr>
        <w:t>clause</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even if any Available Tenor of such Benchmark (or such component thereof) continues to be provided on such date.</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firstLine="1304"/>
        <w:spacing w:after="0" w:line="253" w:lineRule="auto"/>
        <w:tabs>
          <w:tab w:leader="none" w:pos="183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NYFRB, the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0" w:name="page41"/>
    <w:bookmarkEnd w:id="40"/>
    <w:p>
      <w:pPr>
        <w:jc w:val="both"/>
        <w:ind w:firstLine="1304"/>
        <w:spacing w:after="0" w:line="257" w:lineRule="auto"/>
        <w:tabs>
          <w:tab w:leader="none" w:pos="182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such component thereof) announcing that all Available Tenors of such Benchmark (or such component thereof) are no longer, or as of a specified future date will no longer be, representative.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3.03 and (b) ending at the time that a Benchmark Replacement has replaced the then-current Benchmark for all purposes hereunder and under any Loan Document in accordance with Section 3.03.</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 to this Credit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a Revolving Credit Borrowing, Term A Borrowing, Swingline Borrowing or Incremental Term Borrowing, if any, as the context may require.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of New York and, if such day relates to any SOFR Loan, shall also exclude any day which is not a U.S. Government Securities Business Day.</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Cablevision</w:t>
      </w:r>
      <w:r>
        <w:rPr>
          <w:rFonts w:ascii="Times New Roman" w:cs="Times New Roman" w:eastAsia="Times New Roman" w:hAnsi="Times New Roman"/>
          <w:sz w:val="22"/>
          <w:szCs w:val="22"/>
          <w:color w:val="auto"/>
        </w:rPr>
        <w:t>” means Cablevision Systems Corporation,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Carriage Suspension Adjustment</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u w:val="single" w:color="auto"/>
          <w:color w:val="auto"/>
        </w:rPr>
        <w:t>Adjusted Operating Income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1" w:name="page42"/>
    <w:bookmarkEnd w:id="41"/>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“Capital Markets Debt” means any Indebtedness of the Company consisting of notes, bonds, debentures or other similar securities issued in a public offering or in a private placement under Rule 144A or Regulation 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types of Investments, to the extent owned by the Company or any of its Restricted Subsidiaries free and clear of all Liens (other than Liens created under the Collateral Documents and other Liens permitted hereunder):</w:t>
      </w:r>
    </w:p>
    <w:p>
      <w:pPr>
        <w:spacing w:after="0" w:line="167" w:lineRule="exact"/>
        <w:rPr>
          <w:sz w:val="20"/>
          <w:szCs w:val="20"/>
          <w:color w:val="auto"/>
        </w:rPr>
      </w:pPr>
    </w:p>
    <w:p>
      <w:pPr>
        <w:ind w:left="1880" w:hanging="576"/>
        <w:spacing w:after="0"/>
        <w:tabs>
          <w:tab w:leader="none" w:pos="18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direct obligations of the United States of America maturing within 397 days of the date of</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outstanding at any time issued by any Person organized under the laws of any state of the United States of America, which Person shall have a consolidated net worth of at least $250,000,000 and shall conduct a substantial part of its business in the United States of America, maturing within 180 days from the date of the original issue thereof, and rated “P-1” or better by Moody’s, “A-1” or better by S&amp;P or “F1” or better by Fitch;</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in such amounts and with such financial institutions having a rating of “Baa” or better from Moody’s, a rating of “A-” or better from S&amp;P, or a rating of “BBB” or better from Fitch, as the Company may select from time to time;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6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banker’s acceptances and time deposits maturing within 397 days after the date of purchase, which are issued by any Lender or by a United States national or state bank or foreign bank having capital, surplus and undivided profits totaling more than $100,000,000, and having a rating of “Baa” or better from Moody’s, a rating of “A-” or better from S&amp;P, or a rating of “BBB” or better from Fitch;</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 Rule 2a-7 under the Investment Company Act of 1940, (ii) are rated AAA by S&amp;P and Aaa by Moody’s and (iii) have portfolio assets of at least $3,000,000,000;</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of any Lender or of any commercial bank satisfying the requirements of clause (d) of this definition, having a term of not more than thirty days, with respect to securities issued or fully guaranteed or insured by the United States government;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any State, commonwealth or territory of the United States or any political subdivision thereof for the payment of the principal and redemption price of and interest on which there shall have been irrevocably deposited the government obligations described in clause (a) of this definition maturing as to principal and interest at times and in amounts sufficient to provide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2" w:name="page43"/>
    <w:bookmarkEnd w:id="42"/>
    <w:p>
      <w:pPr>
        <w:ind w:left="1820" w:hanging="516"/>
        <w:spacing w:after="0"/>
        <w:tabs>
          <w:tab w:leader="none" w:pos="18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auction preferred stock rated in the highest short-term credit rating category by S&amp;P, Moody’s or Fitch;</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0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six months or less from the date of acquisition backed by standby letters of credit issued by any Lender or any commercial bank satisfying the requirements of clause (b) of this definition; or</w:t>
      </w:r>
    </w:p>
    <w:p>
      <w:pPr>
        <w:spacing w:after="0" w:line="15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money market mutual or similar funds that invest exclusively in assets satisfying the requirements of clauses</w:t>
      </w:r>
    </w:p>
    <w:p>
      <w:pPr>
        <w:spacing w:after="0" w:line="39" w:lineRule="exact"/>
        <w:rPr>
          <w:rFonts w:ascii="Times New Roman" w:cs="Times New Roman" w:eastAsia="Times New Roman" w:hAnsi="Times New Roman"/>
          <w:sz w:val="21"/>
          <w:szCs w:val="21"/>
          <w:color w:val="auto"/>
        </w:rPr>
      </w:pPr>
    </w:p>
    <w:p>
      <w:pPr>
        <w:ind w:left="940" w:hanging="284"/>
        <w:spacing w:after="0"/>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 of this definition.</w:t>
      </w:r>
    </w:p>
    <w:p>
      <w:pPr>
        <w:spacing w:after="0" w:line="209" w:lineRule="exact"/>
        <w:rPr>
          <w:sz w:val="20"/>
          <w:szCs w:val="20"/>
          <w:color w:val="auto"/>
        </w:rPr>
      </w:pPr>
    </w:p>
    <w:p>
      <w:pPr>
        <w:jc w:val="both"/>
        <w:ind w:left="80" w:firstLine="1215"/>
        <w:spacing w:after="0" w:line="251" w:lineRule="auto"/>
        <w:rPr>
          <w:sz w:val="20"/>
          <w:szCs w:val="20"/>
          <w:color w:val="auto"/>
        </w:rPr>
      </w:pPr>
      <w:r>
        <w:rPr>
          <w:rFonts w:ascii="Times New Roman" w:cs="Times New Roman" w:eastAsia="Times New Roman" w:hAnsi="Times New Roman"/>
          <w:sz w:val="22"/>
          <w:szCs w:val="22"/>
          <w:color w:val="auto"/>
        </w:rPr>
        <w:t>In the case of Investments made in a country outside the United States of America, Cash Equivalents shall also include (i) investments of the type and maturity described in clauses (a) through (j) above of foreign obligors, which Investments or obligors (or the parents of such obligors) have ratings described in such clauses or equivalent ratings from S&amp;P, Moody’s or Fitch Ratings Inc. and (ii) other short term investments utilized by the Company and the Restricted Subsidiaries in accordance with normal investment practices for cash management in investments analogous in such country to the foregoing investments in clauses (a) through (j) and in this paragraph.</w:t>
      </w:r>
    </w:p>
    <w:p>
      <w:pPr>
        <w:spacing w:after="0" w:line="18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Flow Ratio</w:t>
      </w:r>
      <w:r>
        <w:rPr>
          <w:rFonts w:ascii="Times New Roman" w:cs="Times New Roman" w:eastAsia="Times New Roman" w:hAnsi="Times New Roman"/>
          <w:sz w:val="22"/>
          <w:szCs w:val="22"/>
          <w:color w:val="auto"/>
        </w:rPr>
        <w:t xml:space="preserve">” means, as of any date, the ratio of (i) the sum of the aggregate outstanding principal amount of all Net Debt outstanding on such date (determined on a consolidated basis)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(but without duplication of Indebtedness supported by Letters of Credit) the aggregate undrawn face amount of all L/C Obligations outstanding on such date to (ii) Annual Adjusted Operating Income (and any change in such ratio as a result of a change in the amount of Indebtedness or Letters of Credit shall be effective as of the date such change shall occur and any change in such ratio as a result of a change in the amount of Annual Adjusted Operating Income shall be effective as of the date of receipt by the Administrative Agent of the Compliance Certificate delivered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reflecting such change). Notwithstanding the foregoing, for purposes of calculating the Cash Flow Ratio, there shall be excluded from Net Debt, to the extent otherwise included as Net Debt, (A) any deferred or contingent obligation of the Company to pay the consideration for an Investment not prohibited by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to the extent such obligation can be satisfied with the delivery of Equity Interests of the Company and the Company covenants and agrees in a notice to the Administrative Agent that such obligation shall be satisfied solely by the delivery of such Equity Interests; (B) any deferred purchase price in connection with any acquisition not prohibited by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to the extent that the Company’s obligations in respect of such deferred purchase price consist solely of an agreement to deliver Equity Interests of the Company and the Company covenants and agrees in a notice to the Administrative Agent that such obligation shall be satisfied solely by the delivery of such Equity Interests; (C) all obligations under any Secured Hedge Agreement or Monetization Indebtedness; and (D)(x) all obligations under any Guarantee permitted under subparagraph (x) of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and (y) all obligations under any Guarantee not prohibited by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so long as the obligations under such Guarantees referred to in this clause (y) are payable, solely at the option of the Company, in Equity Interests of the Company and the Company covenants and agrees in a notice to the Administrative Agent that such obligation shall be satisfied solely by the delivery of such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3" w:name="page44"/>
    <w:bookmarkEnd w:id="4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to provide cash management services, including treasury, depository, overdraft, credit or debit card, electronic funds transfer and other cash management arrangements.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Bank</w:t>
      </w:r>
      <w:r>
        <w:rPr>
          <w:rFonts w:ascii="Times New Roman" w:cs="Times New Roman" w:eastAsia="Times New Roman" w:hAnsi="Times New Roman"/>
          <w:sz w:val="22"/>
          <w:szCs w:val="22"/>
          <w:color w:val="auto"/>
        </w:rPr>
        <w:t>” means any Person that, (i) at the time it enters into a Cash Management Agreement, is a Lender or an Affiliate of a Lender, in its capacity as a party to such Cash Management Agreement, or (ii) on the Closing Date is a Lender or an Affiliate of a Lender and was also a “Lender” or an “Affiliate” of a “Lender,” under the Original Credit Agreement or the First A&amp;R Credit Agreement, and on the Closing Date is a party to a Cash Management Agreement that qualified as a “Cash Management Agreement” under the Original Credit Agreement or the First A&amp;R Credit Agreement, in its capacity as a party to such Cash Management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Amendment No. 1 Effective Date, of any of the following:</w:t>
      </w:r>
    </w:p>
    <w:p>
      <w:pPr>
        <w:spacing w:after="0" w:line="28" w:lineRule="exact"/>
        <w:rPr>
          <w:sz w:val="20"/>
          <w:szCs w:val="20"/>
          <w:color w:val="auto"/>
        </w:rPr>
      </w:pPr>
    </w:p>
    <w:p>
      <w:pPr>
        <w:jc w:val="both"/>
        <w:ind w:firstLine="8"/>
        <w:spacing w:after="0" w:line="247" w:lineRule="auto"/>
        <w:tabs>
          <w:tab w:leader="none" w:pos="2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regardless of the date enacted, adopted or issued.</w:t>
      </w:r>
    </w:p>
    <w:p>
      <w:pPr>
        <w:spacing w:after="0" w:line="18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first date all the conditions precedent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which date shall be July 28, 2017.</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of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JPMCB in its capacity as collateral agent for the Lenders under the Collateral Documents and its successors in such capacity.</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collectively, the Security Agreement, the Pledge Agreement, the Intellectual Property Security Agreement(s) and each of the other agreements, instruments or documents that creates or purports to create a Lien in favor of the Administrative Agent for the benefit of the Secured Parties.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Term A Borrowing, (b) a Revolving Credit Borrowing, (c) a Swingline Borrowing, (d) a conversion of Loans from one Type to the other, or (e) a continuation of SOFR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4" w:name="page45"/>
    <w:bookmarkEnd w:id="44"/>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Term A Commitment, Revolving Credit Commitment or Incremental Term Commitment, if any, as the context may require.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each notice, demand, communication, information, document and other material provided for hereunder or under any other Loan Document or otherwise transmitted between the parties hereto relating to this Credit Agreement, the other Loan Documents, any Loan Party or its Affiliates, or the transactions contemplated by this Credit Agreement or the other Loan Documents including, without limitation, all Approved Electronic Communications.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of a senior financial executive of the Company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legally bound.</w:t>
      </w:r>
    </w:p>
    <w:p>
      <w:pPr>
        <w:spacing w:after="0" w:line="1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Licenses</w:t>
      </w:r>
      <w:r>
        <w:rPr>
          <w:rFonts w:ascii="Times New Roman" w:cs="Times New Roman" w:eastAsia="Times New Roman" w:hAnsi="Times New Roman"/>
          <w:sz w:val="22"/>
          <w:szCs w:val="22"/>
          <w:color w:val="auto"/>
        </w:rPr>
        <w:t>” means any agreement, whether written or oral, providing for the grant by or to a Person of any right under any Copyright.</w:t>
      </w:r>
    </w:p>
    <w:p>
      <w:pPr>
        <w:spacing w:after="0" w:line="17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Copyrights</w:t>
      </w:r>
      <w:r>
        <w:rPr>
          <w:rFonts w:ascii="Times New Roman" w:cs="Times New Roman" w:eastAsia="Times New Roman" w:hAnsi="Times New Roman"/>
          <w:sz w:val="21"/>
          <w:szCs w:val="21"/>
          <w:color w:val="auto"/>
        </w:rPr>
        <w:t>” means all copyrights in all works, now existing or hereafter created or acquired, all registrations and recordings thereof, and all applications in connection therewith, whether in the United States Copyright Office or in any similar office or agency of the United States, any state thereof or any other country or any political subdivision thereof, or otherwise.</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720" w:hanging="416"/>
        <w:spacing w:after="0"/>
        <w:tabs>
          <w:tab w:leader="none" w:pos="17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19" w:lineRule="exact"/>
        <w:rPr>
          <w:rFonts w:ascii="Times New Roman" w:cs="Times New Roman" w:eastAsia="Times New Roman" w:hAnsi="Times New Roman"/>
          <w:sz w:val="22"/>
          <w:szCs w:val="22"/>
          <w:color w:val="auto"/>
        </w:rPr>
      </w:pPr>
    </w:p>
    <w:p>
      <w:pPr>
        <w:ind w:left="1300" w:right="780" w:firstLine="4"/>
        <w:spacing w:after="0" w:line="489" w:lineRule="auto"/>
        <w:tabs>
          <w:tab w:leader="none" w:pos="18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has the meaning given to such term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Adjusted Operating Income</w:t>
      </w:r>
      <w:r>
        <w:rPr>
          <w:rFonts w:ascii="Times New Roman" w:cs="Times New Roman" w:eastAsia="Times New Roman" w:hAnsi="Times New Roman"/>
          <w:sz w:val="22"/>
          <w:szCs w:val="22"/>
          <w:color w:val="auto"/>
        </w:rPr>
        <w:t xml:space="preserve">” means an amount, determined on the date of any proposed Restricted Payment, as applicable, equal to Adjusted Operating Income for the period from January 1, 2024 through the end of the most recently ended Quarter as to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Interest Expense</w:t>
      </w:r>
      <w:r>
        <w:rPr>
          <w:rFonts w:ascii="Times New Roman" w:cs="Times New Roman" w:eastAsia="Times New Roman" w:hAnsi="Times New Roman"/>
          <w:sz w:val="22"/>
          <w:szCs w:val="22"/>
          <w:color w:val="auto"/>
        </w:rPr>
        <w:t xml:space="preserve">” means for the period from January 1, 2024 through the end of the most recently ended Quarter as to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the aggregate of the interest expense of the Company and its Restricted Subsidiaries for such period, determined on a consolidated basis in accordance with GAAP.</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“SOFR Rate Day”),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Instruments</w:t>
      </w:r>
      <w:r>
        <w:rPr>
          <w:rFonts w:ascii="Times New Roman" w:cs="Times New Roman" w:eastAsia="Times New Roman" w:hAnsi="Times New Roman"/>
          <w:sz w:val="22"/>
          <w:szCs w:val="22"/>
          <w:color w:val="auto"/>
        </w:rPr>
        <w:t>” means, collectively, the respective notes and debentures evidencing, and indentures and other agreements governing, any Indebtedness.</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(a) when used with respect to Obligations other than Letter of Credit Fees, an interest rate equal to (i) the Base Rate plus (ii) the Applicable Rate, if any, applicable to Base Rate Loans plus (iii) 2%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 SOFR Loan, the Default Rate shall be an interest rate equal to the interest rate (including the Applicable Rate) otherwise applicable to such Loan plus 2% per annum and (b) when used with respect to Letter of Credit Fees, a rate equal to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6" w:name="page47"/>
    <w:bookmarkEnd w:id="46"/>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at any time, a Lender as to which the Administrative Agent has notified the Company that (i) such Lender has failed for three Business Days or more to comply with its obligations under this Credit Agreement to make a Loan or make a payment to any L/C Issuer in respect of an L/C Obligation or make a payment to the Swingline Lender in respect of a Swingline Loan (each a “</w:t>
      </w:r>
      <w:r>
        <w:rPr>
          <w:rFonts w:ascii="Times New Roman" w:cs="Times New Roman" w:eastAsia="Times New Roman" w:hAnsi="Times New Roman"/>
          <w:sz w:val="22"/>
          <w:szCs w:val="22"/>
          <w:u w:val="single" w:color="auto"/>
          <w:color w:val="auto"/>
        </w:rPr>
        <w:t>funding obligation</w:t>
      </w:r>
      <w:r>
        <w:rPr>
          <w:rFonts w:ascii="Times New Roman" w:cs="Times New Roman" w:eastAsia="Times New Roman" w:hAnsi="Times New Roman"/>
          <w:sz w:val="22"/>
          <w:szCs w:val="22"/>
          <w:color w:val="auto"/>
        </w:rPr>
        <w:t>”)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such Lender has notified the Administrative Agent in writing, or has stated publicly, that it will not comply with any such funding obligation, or (iii) a Lender Insolvency Event has occurred and is continuing with respect to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reallocation of funding obligations provided for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xml:space="preserve"> as a result of a Lender being a Defaulting Lender nor the performance by Non-Defaulting Lenders of such reallocated funding obligations shall by themselves cause the relevant Defaulting Lender to become a Non-Defaulting Lender). Any determination that a Lender is a Defaulting Lender under clauses (i) through (iii) above shall be made by the Administrative Agent in its reasonable discretion acting in good faith. The Administrative Agent will promptly send to all parties hereto a copy of any notice to the Company referred to above.</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Carriage Fee Amortization</w:t>
      </w:r>
      <w:r>
        <w:rPr>
          <w:rFonts w:ascii="Times New Roman" w:cs="Times New Roman" w:eastAsia="Times New Roman" w:hAnsi="Times New Roman"/>
          <w:sz w:val="22"/>
          <w:szCs w:val="22"/>
          <w:color w:val="auto"/>
        </w:rPr>
        <w:t>” means amounts paid or payable to multichannel video programming distributors to obtain additional subscribers and/or guarantee carriage of certain programming services and are amortized as a reduction of revenue over the period of the related affiliation arrangement and determined in accordance with GAAP.</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Defined Percentage</w:t>
      </w:r>
      <w:r>
        <w:rPr>
          <w:rFonts w:ascii="Times New Roman" w:cs="Times New Roman" w:eastAsia="Times New Roman" w:hAnsi="Times New Roman"/>
          <w:sz w:val="22"/>
          <w:szCs w:val="22"/>
          <w:color w:val="auto"/>
        </w:rPr>
        <w:t>” means 66%.</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Borrower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Disposition specifically excludes the (i) sale, transfer, license, lease or other disposition of obsolete or worn out property, whether now owned or hereafter acquired, in the ordinary course of business, (ii) sale, transfer, license, lease or other disposition of receivables, inventory and other current assets in the ordinary course of business; (iii) sale, transfer, license, lease or other disposition of property by any Restricted Subsidiary to the Company or to another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transferor of such property is a Guarantor, the transferee thereof must either be the Borrower or a Guarantor; (iv) sale, transfer, license, lease or other disposition of property permitted by </w:t>
      </w:r>
      <w:r>
        <w:rPr>
          <w:rFonts w:ascii="Times New Roman" w:cs="Times New Roman" w:eastAsia="Times New Roman" w:hAnsi="Times New Roman"/>
          <w:sz w:val="22"/>
          <w:szCs w:val="22"/>
          <w:u w:val="single" w:color="auto"/>
          <w:color w:val="auto"/>
        </w:rPr>
        <w:t>Section 7.24(i)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sale, transfer, license, lease or other disposition of property involving property or assets having a fair market value of less than $50,000,000;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transfers of assets of the type specified in the definition of “Receivables Financing” (or a fractional undivided interest therein), including by a Receivables Subsidiary in a Qualified Receivables Financing, shall not constitute a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7" w:name="page48"/>
    <w:bookmarkEnd w:id="47"/>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w:t>
      </w:r>
      <w:r>
        <w:rPr>
          <w:rFonts w:ascii="Times New Roman" w:cs="Times New Roman" w:eastAsia="Times New Roman" w:hAnsi="Times New Roman"/>
          <w:sz w:val="21"/>
          <w:szCs w:val="21"/>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latest Maturity Date applicable to the Facilities;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only the portion of Equity Interest which so matures or is mandatorily redeemable, is so convertible or exchangeable or is so redeemable at the option of the holder thereof prior to such date will be deemed to be Disqualified Equity Interests;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however, that, if such Equity Interest is issued to any employee or to any plan for the benefit of employees of the Company, any direct or indirect parent of the Company, or the Company’s Restricted Subsidiaries or by any such plan to such employees, such Equity Interest will not constitute Disqualified Equity Interests solely because it may be required to be repurchased by the Company in order to satisfy applicable statutory or regulatory obligations or as a result of such employee’s termination, death or disability;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any class of Equity Interest of such Person that by its terms authorizes such Person to satisfy its obligations thereunder by delivery of Equity Interest that is not Disqualified Equity Interests will not be deemed to be Disqualified Equity Interests so long as such obligations are satisfied with Equity Interests that would not constitute Disqualified Equity Interests (other than as a result of this proviso);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any Equity Interest that would constitute Disqualified Equity Interests solely because the holders thereof have the right to require the Company to repurchase such Equity Interest upon the occurrence of a change of control, casualty event or asset sale (howsoever defined or referred to) shall not constitute Disqualified Equity Interests if the terms of such Equity Interests provide that the Company may not repurchase or redeem any such Equity Interests pursuant to such provisions prior to</w:t>
      </w:r>
    </w:p>
    <w:p>
      <w:pPr>
        <w:spacing w:after="0" w:line="9" w:lineRule="exact"/>
        <w:rPr>
          <w:sz w:val="20"/>
          <w:szCs w:val="20"/>
          <w:color w:val="auto"/>
        </w:rPr>
      </w:pPr>
    </w:p>
    <w:p>
      <w:pPr>
        <w:jc w:val="both"/>
        <w:ind w:firstLine="8"/>
        <w:spacing w:after="0" w:line="245" w:lineRule="auto"/>
        <w:tabs>
          <w:tab w:leader="none" w:pos="27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or expiration of the Commitments (ii) the payment in full of all Obligations hereunder, (iii) the expiration or termination of all Letters of Credit and (iv) the performance of all other Obligations of the Loan Parties under the Loan Documents.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Dolan</w:t>
      </w:r>
      <w:r>
        <w:rPr>
          <w:rFonts w:ascii="Times New Roman" w:cs="Times New Roman" w:eastAsia="Times New Roman" w:hAnsi="Times New Roman"/>
          <w:sz w:val="22"/>
          <w:szCs w:val="22"/>
          <w:color w:val="FF0000"/>
          <w:strike w:val="1"/>
        </w:rPr>
        <w:t>” means Charles F. Dolan.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“Dolan Family Interest Controlled Person” has the meaning specified in Section 8.01(k).</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Dolan Family Interests</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any Dolan Family Member,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auto"/>
        </w:rPr>
        <w:t xml:space="preserve">) any </w:t>
      </w:r>
      <w:r>
        <w:rPr>
          <w:rFonts w:ascii="Times New Roman" w:cs="Times New Roman" w:eastAsia="Times New Roman" w:hAnsi="Times New Roman"/>
          <w:sz w:val="22"/>
          <w:szCs w:val="22"/>
          <w:color w:val="FF0000"/>
          <w:strike w:val="1"/>
        </w:rPr>
        <w:t>trusts</w:t>
      </w:r>
      <w:r>
        <w:rPr>
          <w:rFonts w:ascii="Times New Roman" w:cs="Times New Roman" w:eastAsia="Times New Roman" w:hAnsi="Times New Roman"/>
          <w:sz w:val="22"/>
          <w:szCs w:val="22"/>
          <w:u w:val="single" w:color="auto"/>
          <w:color w:val="0000FF"/>
        </w:rPr>
        <w:t>trust or private foundation created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for the benefit of, or controlled by, any Dolan Family Members or any trust or private foundation created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for the benefit of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Dolan Family Members</w:t>
      </w:r>
      <w:r>
        <w:rPr>
          <w:rFonts w:ascii="Times New Roman" w:cs="Times New Roman" w:eastAsia="Times New Roman" w:hAnsi="Times New Roman"/>
          <w:sz w:val="22"/>
          <w:szCs w:val="22"/>
          <w:u w:val="single" w:color="auto"/>
          <w:color w:val="0000FF"/>
        </w:rPr>
        <w:t>such trust or private foundation</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any estate or testamentary trust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Charles F. Dolan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Dolan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Family Member for the benefit of any Dolan Family </w:t>
      </w:r>
      <w:r>
        <w:rPr>
          <w:rFonts w:ascii="Times New Roman" w:cs="Times New Roman" w:eastAsia="Times New Roman" w:hAnsi="Times New Roman"/>
          <w:sz w:val="22"/>
          <w:szCs w:val="22"/>
          <w:u w:val="single" w:color="auto"/>
          <w:color w:val="0000FF"/>
        </w:rPr>
        <w:t>Member or Dolan Family</w:t>
      </w:r>
      <w:r>
        <w:rPr>
          <w:rFonts w:ascii="Times New Roman" w:cs="Times New Roman" w:eastAsia="Times New Roman" w:hAnsi="Times New Roman"/>
          <w:sz w:val="22"/>
          <w:szCs w:val="22"/>
          <w:color w:val="000000"/>
        </w:rPr>
        <w:t xml:space="preserve"> Members, (</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000000"/>
        </w:rPr>
        <w:t>) any executor, administrator</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trustee</w:t>
      </w:r>
      <w:r>
        <w:rPr>
          <w:rFonts w:ascii="Times New Roman" w:cs="Times New Roman" w:eastAsia="Times New Roman" w:hAnsi="Times New Roman"/>
          <w:sz w:val="22"/>
          <w:szCs w:val="22"/>
          <w:color w:val="000000"/>
        </w:rPr>
        <w:t>, conservator or legal or personal representative of any Person or Persons specified in clauses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above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to the extent acting in such capacity on behalf of </w:t>
      </w:r>
      <w:r>
        <w:rPr>
          <w:rFonts w:ascii="Times New Roman" w:cs="Times New Roman" w:eastAsia="Times New Roman" w:hAnsi="Times New Roman"/>
          <w:sz w:val="22"/>
          <w:szCs w:val="22"/>
          <w:color w:val="FF0000"/>
          <w:strike w:val="1"/>
        </w:rPr>
        <w:t>any Dolan Family Member or Members</w:t>
      </w:r>
      <w:r>
        <w:rPr>
          <w:rFonts w:ascii="Times New Roman" w:cs="Times New Roman" w:eastAsia="Times New Roman" w:hAnsi="Times New Roman"/>
          <w:sz w:val="22"/>
          <w:szCs w:val="22"/>
          <w:u w:val="single" w:color="auto"/>
          <w:color w:val="0000FF"/>
        </w:rPr>
        <w:t>such Person or Persons</w:t>
      </w:r>
      <w:r>
        <w:rPr>
          <w:rFonts w:ascii="Times New Roman" w:cs="Times New Roman" w:eastAsia="Times New Roman" w:hAnsi="Times New Roman"/>
          <w:sz w:val="22"/>
          <w:szCs w:val="22"/>
          <w:color w:val="000000"/>
        </w:rPr>
        <w:t xml:space="preserve"> and not individually</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u w:val="single" w:color="auto"/>
          <w:color w:val="0000FF"/>
        </w:rPr>
        <w:t>e</w:t>
      </w:r>
      <w:r>
        <w:rPr>
          <w:rFonts w:ascii="Times New Roman" w:cs="Times New Roman" w:eastAsia="Times New Roman" w:hAnsi="Times New Roman"/>
          <w:sz w:val="22"/>
          <w:szCs w:val="22"/>
          <w:color w:val="000000"/>
        </w:rPr>
        <w:t>) any corporation, partnership, limited liability company or other similar entity, in each case 80% of which is owned and controlled by any of the foregoing or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8" w:name="page49"/>
    <w:bookmarkEnd w:id="48"/>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Dolan Family Members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Dolan, his spouse, his</w:t>
      </w:r>
      <w:r>
        <w:rPr>
          <w:rFonts w:ascii="Times New Roman" w:cs="Times New Roman" w:eastAsia="Times New Roman" w:hAnsi="Times New Roman"/>
          <w:sz w:val="22"/>
          <w:szCs w:val="22"/>
          <w:u w:val="single" w:color="auto"/>
          <w:color w:val="0000FF"/>
        </w:rPr>
        <w:t>the Dolans, their spouses, the Dolan’s</w:t>
      </w:r>
      <w:r>
        <w:rPr>
          <w:rFonts w:ascii="Times New Roman" w:cs="Times New Roman" w:eastAsia="Times New Roman" w:hAnsi="Times New Roman"/>
          <w:sz w:val="22"/>
          <w:szCs w:val="22"/>
          <w:color w:val="auto"/>
        </w:rPr>
        <w:t xml:space="preserve"> descendants </w:t>
      </w:r>
      <w:r>
        <w:rPr>
          <w:rFonts w:ascii="Times New Roman" w:cs="Times New Roman" w:eastAsia="Times New Roman" w:hAnsi="Times New Roman"/>
          <w:sz w:val="22"/>
          <w:szCs w:val="22"/>
          <w:u w:val="single" w:color="auto"/>
          <w:color w:val="0000FF"/>
        </w:rPr>
        <w:t>by birth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or adoption (including any stepchildren of the Dolans and their descendants)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any spouse of any of such descendants.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“Dolans” means the six children of Charles F. Dolan (James L. Dolan, Thomas C. Dolan, Patrick F. Dolan, Marianne Dolan Weber, Deborah A. Dolan-Sweeney and Kathleen M. Dolan).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”means lawful money of the United States of America.</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and existing under the laws of the United States or any state or commonwealth thereof or under the laws of the District of Columbia, except that (1) no Subsidiary of a Foreign Subsidiary shall be a Domestic Subsidiary, and (2) no Subsidiary of an Excluded Domestic Subsidiary shall be a Domestic Subsidiary.</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the consolidated supervision of its parent.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body, public administrative authority or other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Yield</w:t>
      </w:r>
      <w:r>
        <w:rPr>
          <w:rFonts w:ascii="Times New Roman" w:cs="Times New Roman" w:eastAsia="Times New Roman" w:hAnsi="Times New Roman"/>
          <w:sz w:val="21"/>
          <w:szCs w:val="21"/>
          <w:color w:val="auto"/>
        </w:rPr>
        <w:t xml:space="preserve">” means, with respect to any Indebtedness, as of any date of determination, the effective yield on such Indebtedness, taking into account the applicable interest rate margins, any interest rate floors (subject to the proviso below) and all upfront or similar fees or original issue discount (amortized over the shorter of (x) the weighted average life to maturity of such Indebtedness and (y) four years) payable by the Borrower generally to all lenders providing such Indebtedness, but excluding (i) any arrangement, structuring, commitment, underwriting or other similar fees payable to any arranger (or affiliate thereof) in connection with the commitment or syndication of such Indebtedness and (ii) customary consent fees for an amendment paid generally to consenting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(A) to the extent Adjusted Term SOFR (for a period of three months) or Base Rate (without giving effect to any floor specified in the definitions thereof) is less than any floor applicable to the Indebtedness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Adjusted Term SOFR (for a period of three months) or Base Rate (without giving effect to any floor specified in the definitions thereof) is greater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22"/>
          <w:szCs w:val="22"/>
          <w:color w:val="auto"/>
        </w:rPr>
        <w:t>applicable floor on the date on which the Effective Yield is determined, the applicable floor will be disregarded in calculating the Effective Yield.</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 with respect to any assignment of any Revolving Credit Commitment or Revolving Credit Loan, (i) a Revolving Credit Lender, (ii) an Affiliate of a Revolving Credit Lender, and (iii) any other Person (other than a natural person or a holding company, investment vehicle or trust for, or owned and operated for the primary benefit of, a natural person) approved by (A) the Administrative Agent, (B) in the case of any assignment of a Revolving Credit Commitment, the Swingline Lender and each L/C Issuer, and (C) unless an Event of Default has occurred and is continuing, the Company (each such approval not to be unreasonably withheld or delayed), and (b) with respect to any assignment of any Term Commitment or Term Loan, (i) a Lender, (ii) an Affiliate of a Lender, (iii) an Approved Fund, (iv) any other Person (other than a natural person or a holding company, investment vehicle or trust for, or owned and operated for the primary benefit of, a natural person) approved by (A) the Administrative Agent, and (B) unless an Event of Default has occurred and is continuing, the Company (each such approval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Company shall be deemed to have approved of such Person unless it shall object thereto by written notice to the Administrative Agent within seven (7) Business Days after having received written notice thereof, and (v) with respect to any Term Loan, the Company or any of the Company’s Affiliates or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none of the Company or any of the Company’s Affiliates or Subsidiaries holding Term Loans shall have any right to (A) attend (including by telephone) any meeting or discussions (or portion thereof) among the Administrative Agent or any Lender to which representatives of the Company are not then present or (B) receive any information or material prepared by the Administrative Agent or any Lender or any communication by or among Administrative Agent and one or more Lenders, except to the extent such information or materials have been made available to the Company or its representatives, (2) any purchase of Term Loans by the Company or any of its Subsidiaries by assignment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shall (x) be effected by an offer to purchase such Term Loans pro rata from each Term Lender of the applicable Term Facility in a manner reasonably acceptable to the Administrative Agent, (y) result in such Term Loans being retired upon such assignment and (z) not be funded with a borrowing of Revolving Credit Loans, and (3) the aggregate principal amount of Term Loans purchased by assignment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held at any one time by any of the Company’s Affiliates (which are not required to be retired pursuant to clause (2) above) may not exceed 10% of the outstanding principal amount of all Term Loans under any Term Facility.</w:t>
      </w:r>
    </w:p>
    <w:p>
      <w:pPr>
        <w:spacing w:after="0" w:line="19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0" w:name="page51"/>
    <w:bookmarkEnd w:id="50"/>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(including any liability for damages, costs of environmental remediation, fines, penalties or indemnities), of the Company, any other Loan Party or any of their respective Subsidiaries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any of the shares of capital stock of (or other ownership or profit interests in) such Person, any of the warrants, options or other rights for the purchase or acquisition from such Person of shares of capital stock of (or other ownership or profit interests in) such Person, any of the securities convertible into or exchangeable for shares of capital stock of (or other ownership or profit interests in) such Person or warrants, rights or options for the purchase or acquisition from such Person of such shares (or such other interests), and any of the other ownership or profit interests in such Person (including partnership, member or trust interests therein), whether voting or nonvoting, and whether or not such shares, warrants, options, rights or other interests are outstanding on any date of determination. Notwithstanding anything to the contrary, Equity Interests shall not include any Permitted Convertible / Exchange Indebtedness, any Permitted Bond Hedge Transactions or any Permitted Warrant Transactions.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when used with respect to a Plan, ERISA, the PBGC or a provision of the Code pertaining to employee benefit plans, any Person that is a member of any group of organizations within the meaning of Section 414(b), (c), (m) or (o) of the Code of which the Company is a member.</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document described as such and published by the Loan Market Association (or any successor Person) as in effect from time to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means any of the events described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Loss</w:t>
      </w:r>
      <w:r>
        <w:rPr>
          <w:rFonts w:ascii="Times New Roman" w:cs="Times New Roman" w:eastAsia="Times New Roman" w:hAnsi="Times New Roman"/>
          <w:sz w:val="22"/>
          <w:szCs w:val="22"/>
          <w:color w:val="auto"/>
        </w:rPr>
        <w:t>” means, with respect to any property, (i) the actual or constructive total loss of such property or the use thereof, resulting from destruction, damage beyond repair, or the rendition of such property permanently unfit for normal use from any casualty or similar occurrence whatsoever, (ii) the destruction or damage of a material portion of such property from any casualty or similar occurrence whatsoever under circumstances in which such damage cannot reasonably be expected to be repaired, or such property cannot reasonably be expected to be restored to its condition immediately prior to such destruction or damage, within 180 days after the occurrence of such destruction or damage, (iii) the condemnation, confiscation or seizure of, or requisition of title to or use of, any property, or (iv) in the case of any property located upon a leasehold, the termination or expiration of such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1" w:name="page52"/>
    <w:bookmarkEnd w:id="51"/>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a Disposition constituting any exchange of assets or properties for consideration consisting solely of other assets or properties, subject to the last sentence of this definition, and of comparable value and use to those assets or properties being exchanged, and having a value equal to the fair market value of those assets or properties being exchanged, including exchanges involving the transfer or acquisition (or both transfer and acquisition) of Equity Interests of a Person so long as substantially all of the Equity Interests of such Person are transferred or acquired, as the case may be (and such Person becomes a Restricted Subsidiary and a Guarantor hereunder). It is understood that exchanges of the kind described above as to which a portion of the consideration paid or received is in the form of cash or Cash Equivalents shall nevertheless constitute “</w:t>
      </w:r>
      <w:r>
        <w:rPr>
          <w:rFonts w:ascii="Times New Roman" w:cs="Times New Roman" w:eastAsia="Times New Roman" w:hAnsi="Times New Roman"/>
          <w:sz w:val="22"/>
          <w:szCs w:val="22"/>
          <w:u w:val="single" w:color="auto"/>
          <w:color w:val="auto"/>
        </w:rPr>
        <w:t>Exchanges</w:t>
      </w:r>
      <w:r>
        <w:rPr>
          <w:rFonts w:ascii="Times New Roman" w:cs="Times New Roman" w:eastAsia="Times New Roman" w:hAnsi="Times New Roman"/>
          <w:sz w:val="22"/>
          <w:szCs w:val="22"/>
          <w:color w:val="auto"/>
        </w:rPr>
        <w:t>” for the purposes of this Credit Agreement so long as the aggregate consideration received by the Company and its Restricted Subsidiaries in connection with such exchange represents fair market value for the assets or properties and cash or Cash Equivalents being transferred by the Company and its Restricted Subsidiaries.</w:t>
      </w:r>
    </w:p>
    <w:p>
      <w:pPr>
        <w:spacing w:after="0" w:line="20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Domestic Subsidiary</w:t>
      </w:r>
      <w:r>
        <w:rPr>
          <w:rFonts w:ascii="Times New Roman" w:cs="Times New Roman" w:eastAsia="Times New Roman" w:hAnsi="Times New Roman"/>
          <w:sz w:val="22"/>
          <w:szCs w:val="22"/>
          <w:color w:val="auto"/>
        </w:rPr>
        <w:t>” means any Domestic Subsidiary substantially all the assets of which are Equity Interests in Foreign Subsidiaries. For the avoidance of doubt, AMCNI (or its successor) shall be an Excluded Domestic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Indebtedness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and any other “keepwell, support or other agreement” for the benefit of such Guarantor and any and all guarantees of such Guarantor’s Swap Obligations by other Loan Parties) at the time the Guaranty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Guaranty or security interest is or becomes illegal in accordance with this definition.</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with respect to the Administrative Agent, any Lender, any L/C Issuer or any other recipient of any payment to be made by or on account of any obligation of the Borrower hereunder, (a) any taxes imposed on or measured by its overall net income (however denominated), branch profits taxes, and franchise taxes imposed on it (in lieu of net income taxes), as a result of a present or former connection between such Administrative Agent, Lender or L/C Issuer, as the case may be, and the jurisdiction of the Governmental Authority imposing such tax or any taxing authority thereof or therein (other than any such connection arising solely from the Administrative Agent, such Lender or such L/C Issuer having executed, delivered or performed its obligations or received a payment under, or enforced, any Loan Document), (b) any Tax imposed pursuant to FATCA, and (c) in the case of a Foreign Lender (other than an assignee pursuant to a request by the Company under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 any U.S. federal withholding tax that is imposed on amounts payable to such Foreign Lender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time such Foreign Lender becomes a party hereto (or designates a new Lending Office) or is attributable to such Foreign Lender’s failure or inability (other than as a result of a Change in Law)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Borrowings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3.03(e)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Revolver Tranche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Term Loan Tranche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u w:val="single" w:color="auto"/>
          <w:color w:val="0000FF"/>
        </w:rPr>
        <w:t>“Extended Revolving Credit Commitment” means, as to each Extended Revolving Credit Lender, its obligation to</w:t>
      </w:r>
    </w:p>
    <w:p>
      <w:pPr>
        <w:spacing w:after="0" w:line="39" w:lineRule="exact"/>
        <w:rPr>
          <w:sz w:val="20"/>
          <w:szCs w:val="20"/>
          <w:color w:val="auto"/>
        </w:rPr>
      </w:pPr>
    </w:p>
    <w:p>
      <w:pPr>
        <w:jc w:val="both"/>
        <w:ind w:firstLine="8"/>
        <w:spacing w:after="0" w:line="260" w:lineRule="auto"/>
        <w:tabs>
          <w:tab w:leader="none" w:pos="294" w:val="left"/>
        </w:tabs>
        <w:numPr>
          <w:ilvl w:val="0"/>
          <w:numId w:val="2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make Revolving Credit Loans to the Borrower pursuant to Section 2.01(b), and (b) purchase participations in L/C Obligations, in an aggregate principal amount at any one time outstanding not to exceed the amount set forth opposite such Lender’s name on Schedule 2.01 attached to Amendment No. 3 under the caption “Revolving Credit Commitment” or opposite such caption in the Assignment and Assumption pursuant to which such Lender becomes a party hereto, as applicable, as such amount may be adjusted from time to time in accordance with this Credit Agreement. On the Amendment No. 5 Effective Date, after giving effect to the Amendment No. 5 Transactions, the aggregate Extended Revolving Credit Commitments shall be $111,770,564.</w:t>
      </w:r>
    </w:p>
    <w:p>
      <w:pPr>
        <w:spacing w:after="0" w:line="17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“Extended Revolving Credit Facility” means at any time the aggregate principal amount of the Extended Revolving Credit Commitments held by Extended Revolving Credit Lenders.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Lender” means any Lender that holds Extended Revolving Credit</w:t>
      </w:r>
      <w:r>
        <w:rPr>
          <w:rFonts w:ascii="Times New Roman" w:cs="Times New Roman" w:eastAsia="Times New Roman" w:hAnsi="Times New Roman"/>
          <w:sz w:val="22"/>
          <w:szCs w:val="22"/>
          <w:color w:val="auto"/>
        </w:rPr>
        <w:t xml:space="preserve"> Commitments</w:t>
      </w:r>
      <w:r>
        <w:rPr>
          <w:rFonts w:ascii="Times New Roman" w:cs="Times New Roman" w:eastAsia="Times New Roman" w:hAnsi="Times New Roman"/>
          <w:sz w:val="22"/>
          <w:szCs w:val="22"/>
          <w:color w:val="00CC00"/>
          <w:strike w:val="1"/>
        </w:rPr>
        <w:t>” has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CC00"/>
          <w:strike w:val="1"/>
        </w:rPr>
        <w:t>the meaning given to</w:t>
      </w:r>
      <w:r>
        <w:rPr>
          <w:rFonts w:ascii="Times New Roman" w:cs="Times New Roman" w:eastAsia="Times New Roman" w:hAnsi="Times New Roman"/>
          <w:sz w:val="22"/>
          <w:szCs w:val="22"/>
          <w:color w:val="00CC00"/>
        </w:rPr>
        <w:t xml:space="preserve"> </w:t>
      </w:r>
      <w:r>
        <w:rPr>
          <w:rFonts w:ascii="Times New Roman" w:cs="Times New Roman" w:eastAsia="Times New Roman" w:hAnsi="Times New Roman"/>
          <w:sz w:val="22"/>
          <w:szCs w:val="22"/>
          <w:u w:val="single" w:color="auto"/>
          <w:color w:val="0000FF"/>
        </w:rPr>
        <w:t>at</w:t>
      </w:r>
      <w:r>
        <w:rPr>
          <w:rFonts w:ascii="Times New Roman" w:cs="Times New Roman" w:eastAsia="Times New Roman" w:hAnsi="Times New Roman"/>
          <w:sz w:val="22"/>
          <w:szCs w:val="22"/>
          <w:color w:val="00CC00"/>
        </w:rPr>
        <w:t xml:space="preserve"> </w:t>
      </w:r>
      <w:r>
        <w:rPr>
          <w:rFonts w:ascii="Times New Roman" w:cs="Times New Roman" w:eastAsia="Times New Roman" w:hAnsi="Times New Roman"/>
          <w:sz w:val="22"/>
          <w:szCs w:val="22"/>
          <w:color w:val="000000"/>
        </w:rPr>
        <w:t>such</w:t>
      </w:r>
      <w:r>
        <w:rPr>
          <w:rFonts w:ascii="Times New Roman" w:cs="Times New Roman" w:eastAsia="Times New Roman" w:hAnsi="Times New Roman"/>
          <w:sz w:val="22"/>
          <w:szCs w:val="22"/>
          <w:color w:val="00CC00"/>
        </w:rPr>
        <w:t xml:space="preserve"> </w:t>
      </w:r>
      <w:r>
        <w:rPr>
          <w:rFonts w:ascii="Times New Roman" w:cs="Times New Roman" w:eastAsia="Times New Roman" w:hAnsi="Times New Roman"/>
          <w:sz w:val="22"/>
          <w:szCs w:val="22"/>
          <w:color w:val="FF0000"/>
          <w:strike w:val="1"/>
        </w:rPr>
        <w:t>term in</w:t>
      </w:r>
      <w:r>
        <w:rPr>
          <w:rFonts w:ascii="Times New Roman" w:cs="Times New Roman" w:eastAsia="Times New Roman" w:hAnsi="Times New Roman"/>
          <w:sz w:val="22"/>
          <w:szCs w:val="22"/>
          <w:color w:val="00CC00"/>
        </w:rPr>
        <w:t xml:space="preserve"> </w:t>
      </w:r>
      <w:r>
        <w:rPr>
          <w:rFonts w:ascii="Times New Roman" w:cs="Times New Roman" w:eastAsia="Times New Roman" w:hAnsi="Times New Roman"/>
          <w:sz w:val="22"/>
          <w:szCs w:val="22"/>
          <w:u w:val="single" w:color="auto"/>
          <w:color w:val="FF0000"/>
          <w:strike w:val="1"/>
        </w:rPr>
        <w:t>Section 2.18(b)</w:t>
      </w:r>
      <w:r>
        <w:rPr>
          <w:rFonts w:ascii="Times New Roman" w:cs="Times New Roman" w:eastAsia="Times New Roman" w:hAnsi="Times New Roman"/>
          <w:sz w:val="22"/>
          <w:szCs w:val="22"/>
          <w:u w:val="single" w:color="auto"/>
          <w:color w:val="0000FF"/>
        </w:rPr>
        <w:t>time</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u w:val="single" w:color="auto"/>
          <w:color w:val="0000FF"/>
        </w:rPr>
        <w:t xml:space="preserve">“Extended Revolving Credit Loans” means the Revolving Credit </w:t>
      </w:r>
      <w:r>
        <w:rPr>
          <w:rFonts w:ascii="Times New Roman" w:cs="Times New Roman" w:eastAsia="Times New Roman" w:hAnsi="Times New Roman"/>
          <w:sz w:val="22"/>
          <w:szCs w:val="22"/>
          <w:u w:val="single" w:color="auto"/>
          <w:color w:val="00CC00"/>
        </w:rPr>
        <w:t>Loans held by the Consenting Lenders (as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C00"/>
        </w:rPr>
        <w:t xml:space="preserve">defined in Amendment No. </w:t>
      </w:r>
      <w:r>
        <w:rPr>
          <w:rFonts w:ascii="Times New Roman" w:cs="Times New Roman" w:eastAsia="Times New Roman" w:hAnsi="Times New Roman"/>
          <w:sz w:val="22"/>
          <w:szCs w:val="22"/>
          <w:u w:val="single" w:color="auto"/>
          <w:color w:val="0000FF"/>
        </w:rPr>
        <w:t>5). Notwithstanding anything to the contrary, the Extended Revolving Credit Loans shall be one</w:t>
      </w:r>
      <w:r>
        <w:rPr>
          <w:rFonts w:ascii="Times New Roman" w:cs="Times New Roman" w:eastAsia="Times New Roman" w:hAnsi="Times New Roman"/>
          <w:sz w:val="22"/>
          <w:szCs w:val="22"/>
          <w:u w:val="single" w:color="auto"/>
          <w:color w:val="00CC00"/>
        </w:rPr>
        <w:t xml:space="preserve"> </w:t>
      </w:r>
      <w:r>
        <w:rPr>
          <w:rFonts w:ascii="Times New Roman" w:cs="Times New Roman" w:eastAsia="Times New Roman" w:hAnsi="Times New Roman"/>
          <w:sz w:val="22"/>
          <w:szCs w:val="22"/>
          <w:u w:val="single" w:color="auto"/>
          <w:color w:val="0000FF"/>
        </w:rPr>
        <w:t xml:space="preserve">fungible class of Revolving Credit Loans. On the Amendment No. 5 Effective Date, </w:t>
      </w:r>
      <w:r>
        <w:rPr>
          <w:rFonts w:ascii="Times New Roman" w:cs="Times New Roman" w:eastAsia="Times New Roman" w:hAnsi="Times New Roman"/>
          <w:sz w:val="22"/>
          <w:szCs w:val="22"/>
          <w:u w:val="single" w:color="auto"/>
          <w:color w:val="00CC00"/>
        </w:rPr>
        <w:t>after giving effect to the</w:t>
      </w:r>
      <w:r>
        <w:rPr>
          <w:rFonts w:ascii="Times New Roman" w:cs="Times New Roman" w:eastAsia="Times New Roman" w:hAnsi="Times New Roman"/>
          <w:sz w:val="22"/>
          <w:szCs w:val="22"/>
          <w:u w:val="single" w:color="auto"/>
          <w:color w:val="0000FF"/>
        </w:rPr>
        <w:t xml:space="preserve"> Amendment No. 5 Transactions, the aggregate amount of outstanding Extended Revolving Loans shall be $0.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A Facility</w:t>
      </w:r>
      <w:r>
        <w:rPr>
          <w:rFonts w:ascii="Times New Roman" w:cs="Times New Roman" w:eastAsia="Times New Roman" w:hAnsi="Times New Roman"/>
          <w:sz w:val="22"/>
          <w:szCs w:val="22"/>
          <w:color w:val="auto"/>
        </w:rPr>
        <w:t>” means at any time the aggregate principal amount of the Extended Term A Loans of all Extended Term A Lenders outstanding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A Lender</w:t>
      </w:r>
      <w:r>
        <w:rPr>
          <w:rFonts w:ascii="Times New Roman" w:cs="Times New Roman" w:eastAsia="Times New Roman" w:hAnsi="Times New Roman"/>
          <w:sz w:val="22"/>
          <w:szCs w:val="22"/>
          <w:color w:val="auto"/>
        </w:rPr>
        <w:t>” means any Lender that holds Extended Term A Loans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3" w:name="page54"/>
    <w:bookmarkEnd w:id="53"/>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A Loans</w:t>
      </w:r>
      <w:r>
        <w:rPr>
          <w:rFonts w:ascii="Times New Roman" w:cs="Times New Roman" w:eastAsia="Times New Roman" w:hAnsi="Times New Roman"/>
          <w:sz w:val="22"/>
          <w:szCs w:val="22"/>
          <w:color w:val="auto"/>
        </w:rPr>
        <w:t xml:space="preserve">” means (i) the Term A Loans </w:t>
      </w:r>
      <w:r>
        <w:rPr>
          <w:rFonts w:ascii="Times New Roman" w:cs="Times New Roman" w:eastAsia="Times New Roman" w:hAnsi="Times New Roman"/>
          <w:sz w:val="22"/>
          <w:szCs w:val="22"/>
          <w:color w:val="FF0000"/>
          <w:strike w:val="1"/>
        </w:rPr>
        <w:t>(as defined in this Agreement prior to giving effect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Amendment No. 3)</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held by the Consenting Lenders (as defined in Amendment No.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3) and (ii) the Incremental Increase Term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C00"/>
          <w:strike w:val="1"/>
        </w:rPr>
        <w:t xml:space="preserve">Loans held by the Consenting Lenders (as defined in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color w:val="00CC00"/>
          <w:strike w:val="1"/>
        </w:rPr>
        <w:t xml:space="preserve"> after giving effect to the </w:t>
      </w:r>
      <w:r>
        <w:rPr>
          <w:rFonts w:ascii="Times New Roman" w:cs="Times New Roman" w:eastAsia="Times New Roman" w:hAnsi="Times New Roman"/>
          <w:sz w:val="22"/>
          <w:szCs w:val="22"/>
          <w:color w:val="FF0000"/>
          <w:strike w:val="1"/>
        </w:rPr>
        <w:t>increase in the Term A Loans</w:t>
      </w:r>
      <w:r>
        <w:rPr>
          <w:rFonts w:ascii="Times New Roman" w:cs="Times New Roman" w:eastAsia="Times New Roman" w:hAnsi="Times New Roman"/>
          <w:sz w:val="22"/>
          <w:szCs w:val="22"/>
          <w:color w:val="00CC00"/>
          <w:strike w:val="1"/>
        </w:rPr>
        <w:t xml:space="preserve"> </w:t>
      </w:r>
      <w:r>
        <w:rPr>
          <w:rFonts w:ascii="Times New Roman" w:cs="Times New Roman" w:eastAsia="Times New Roman" w:hAnsi="Times New Roman"/>
          <w:sz w:val="22"/>
          <w:szCs w:val="22"/>
          <w:color w:val="FF0000"/>
          <w:strike w:val="1"/>
        </w:rPr>
        <w:t>described in clause (i) effected by the Incremental Exchange (as defined in Amendment No. 3</w:t>
      </w:r>
      <w:r>
        <w:rPr>
          <w:rFonts w:ascii="Times New Roman" w:cs="Times New Roman" w:eastAsia="Times New Roman" w:hAnsi="Times New Roman"/>
          <w:sz w:val="22"/>
          <w:szCs w:val="22"/>
          <w:u w:val="single" w:color="auto"/>
          <w:color w:val="0000FF"/>
          <w:strike w:val="1"/>
        </w:rPr>
        <w:t>5</w:t>
      </w:r>
      <w:r>
        <w:rPr>
          <w:rFonts w:ascii="Times New Roman" w:cs="Times New Roman" w:eastAsia="Times New Roman" w:hAnsi="Times New Roman"/>
          <w:sz w:val="22"/>
          <w:szCs w:val="22"/>
          <w:color w:val="000000"/>
          <w:strike w:val="1"/>
        </w:rPr>
        <w:t>). Notwithstanding anything to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contrary, the Extended Term A Loans shall be one fungible Class of Term Loans. On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strike w:val="1"/>
        </w:rPr>
        <w:t>5</w:t>
      </w:r>
      <w:r>
        <w:rPr>
          <w:rFonts w:ascii="Times New Roman" w:cs="Times New Roman" w:eastAsia="Times New Roman" w:hAnsi="Times New Roman"/>
          <w:sz w:val="22"/>
          <w:szCs w:val="22"/>
          <w:color w:val="000000"/>
          <w:strike w:val="1"/>
        </w:rPr>
        <w:t xml:space="preserve"> Effective Date, after giving effect to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strike w:val="1"/>
        </w:rPr>
        <w:t>5</w:t>
      </w:r>
      <w:r>
        <w:rPr>
          <w:rFonts w:ascii="Times New Roman" w:cs="Times New Roman" w:eastAsia="Times New Roman" w:hAnsi="Times New Roman"/>
          <w:sz w:val="22"/>
          <w:szCs w:val="22"/>
          <w:color w:val="000000"/>
          <w:strike w:val="1"/>
        </w:rPr>
        <w:t xml:space="preserve"> Transactions, the aggregate amount of outstanding Extended Term A Loans shall be $</w:t>
      </w:r>
      <w:r>
        <w:rPr>
          <w:rFonts w:ascii="Times New Roman" w:cs="Times New Roman" w:eastAsia="Times New Roman" w:hAnsi="Times New Roman"/>
          <w:sz w:val="22"/>
          <w:szCs w:val="22"/>
          <w:color w:val="FF0000"/>
          <w:strike w:val="1"/>
        </w:rPr>
        <w:t>325,000,000</w:t>
      </w:r>
      <w:r>
        <w:rPr>
          <w:rFonts w:ascii="Times New Roman" w:cs="Times New Roman" w:eastAsia="Times New Roman" w:hAnsi="Times New Roman"/>
          <w:sz w:val="22"/>
          <w:szCs w:val="22"/>
          <w:u w:val="single" w:color="auto"/>
          <w:color w:val="0000FF"/>
          <w:strike w:val="1"/>
        </w:rPr>
        <w:t>165,688,309 and after giving effect to the TLA Repurchase, the aggregate amount of outstanding Extended Term A</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u w:val="single" w:color="auto"/>
          <w:color w:val="0000FF"/>
          <w:strike w:val="1"/>
        </w:rPr>
        <w:t>Loans shall be $0</w:t>
      </w:r>
      <w:r>
        <w:rPr>
          <w:rFonts w:ascii="Times New Roman" w:cs="Times New Roman" w:eastAsia="Times New Roman" w:hAnsi="Times New Roman"/>
          <w:sz w:val="22"/>
          <w:szCs w:val="22"/>
          <w:color w:val="000000"/>
          <w:strike w:val="1"/>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Revolving Credit Lender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Term Lender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means the establishment of an Extension Series by amending a Commitment or Loan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and the applicable Extension Amendment.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Election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Minimum Condition</w:t>
      </w:r>
      <w:r>
        <w:rPr>
          <w:rFonts w:ascii="Times New Roman" w:cs="Times New Roman" w:eastAsia="Times New Roman" w:hAnsi="Times New Roman"/>
          <w:sz w:val="22"/>
          <w:szCs w:val="22"/>
          <w:color w:val="auto"/>
        </w:rPr>
        <w:t>” means a condition to consummating any Extension that a minimum amount (to be determined and specified in the relevant Extension Request, in the Borrower’s sole discretion) of any or all applicable classes be submitted for Extension.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Request</w:t>
      </w:r>
      <w:r>
        <w:rPr>
          <w:rFonts w:ascii="Times New Roman" w:cs="Times New Roman" w:eastAsia="Times New Roman" w:hAnsi="Times New Roman"/>
          <w:sz w:val="21"/>
          <w:szCs w:val="21"/>
          <w:color w:val="auto"/>
        </w:rPr>
        <w:t>” means any Term Loan Extension Request or a Revolver Extension Request, as the case may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Series</w:t>
      </w:r>
      <w:r>
        <w:rPr>
          <w:rFonts w:ascii="Times New Roman" w:cs="Times New Roman" w:eastAsia="Times New Roman" w:hAnsi="Times New Roman"/>
          <w:sz w:val="22"/>
          <w:szCs w:val="22"/>
          <w:color w:val="auto"/>
        </w:rPr>
        <w:t>” means any Term Loan Extension Series or Revolver Extension Series, as the case may be.</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Term A Facilities, the Revolving Credit Facility or an Incremental Term Facility, if any, as the context may require.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Credit Agreement (or any amended or successor version that is substantively comparable and not materially more onerous to comply with), any regulations or official interpretations thereof, whether issued before or after the date of this Credit Agreement, any agreements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equal to the weighted average of the rates on overnight Federal funds transactions with members of the Federal Reserve System, as published by the NYFRB on the Business Day next succeeding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JPMCB on such day on such transactions as determined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Federal Funds Rate shall be less than zero, such rate shall be deemed zero for purposes of this Credit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the Arrangement Fee Letters and the JPMCB Fee Letter.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 Obligation</w:t>
      </w:r>
      <w:r>
        <w:rPr>
          <w:rFonts w:ascii="Times New Roman" w:cs="Times New Roman" w:eastAsia="Times New Roman" w:hAnsi="Times New Roman"/>
          <w:sz w:val="22"/>
          <w:szCs w:val="22"/>
          <w:color w:val="auto"/>
        </w:rPr>
        <w:t>” means, as to any Person, an obligation that is required to be classified and accounted for as a finance lease for financial reporting purposes in accordance with GAAP, and the amount of Indebtedness represented by such obligation will be the capitalized amount of such obligation at the time any determination thereof is to be made as determined in accordance with GAAP, and the fixed maturity date thereof will be the date of the last payment of rent or any other amount due under such lease prior to the first date such lease may be terminated without penalty.</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xml:space="preserve">” means the financial covenants applicable to the Company and the Restricted Subsidiaries from time to time as set forth in </w:t>
      </w:r>
      <w:r>
        <w:rPr>
          <w:rFonts w:ascii="Times New Roman" w:cs="Times New Roman" w:eastAsia="Times New Roman" w:hAnsi="Times New Roman"/>
          <w:sz w:val="22"/>
          <w:szCs w:val="22"/>
          <w:u w:val="single" w:color="auto"/>
          <w:color w:val="auto"/>
        </w:rPr>
        <w:t>Section 7.26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7.27</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A&amp;R Credit Agreement</w:t>
      </w:r>
      <w:r>
        <w:rPr>
          <w:rFonts w:ascii="Times New Roman" w:cs="Times New Roman" w:eastAsia="Times New Roman" w:hAnsi="Times New Roman"/>
          <w:sz w:val="22"/>
          <w:szCs w:val="22"/>
          <w:color w:val="auto"/>
        </w:rPr>
        <w:t>” means that certain Amended and Restated Credit Agreement, dated as of December 16, 2013, as amended by Amendment No. 1 to the Amended and Restated Credit Agreement, dated as of January 29, 2015, among the Borrower, certain subsidiaries of the Company party thereto, the lenders party thereto and JPMCB, as administrative agent, collateral agent and L/C issuer thereunder, as in effect immediately prior to the Closing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and any successor thereto.</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with respect to Borrowings of Revolving Credit Loans and Term A Loans, 0.00% per annum and (b) with respect to Borrowings of other Loans, the floor amount as set forth in the applicable Incremental Term Supplement or Extension Amendment.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Restricted Subsidiary</w:t>
      </w:r>
      <w:r>
        <w:rPr>
          <w:rFonts w:ascii="Times New Roman" w:cs="Times New Roman" w:eastAsia="Times New Roman" w:hAnsi="Times New Roman"/>
          <w:sz w:val="22"/>
          <w:szCs w:val="22"/>
          <w:color w:val="auto"/>
        </w:rPr>
        <w:t>” means a Restricted Subsidiary that is a Foreign Subsidiary.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 Subsidiary that is not a Domestic Subsidiary. For the avoidance of doubt, (1) any Subsidiary of a Foreign Subsidiary shall be a Foreign Subsidiary, and (2) any Subsidiary of AMCNI (or its successor) shall be a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5" w:name="page56"/>
    <w:bookmarkEnd w:id="5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after the Closing Date, the Company may elect to apply IFRS accounting principles in lieu of GAAP and, upon any such election, except as otherwise provided in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 xml:space="preserve">, references herein to GAAP shall thereafter be construed to mean IFRS (and equivalent pronouncements) as in effect at the date of such election, except as otherwise provided in this Credit Agreement;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calculation or determination in this Credit Agreement that requires the application of GAAP for periods that include Quarters ended prior to the adoption of IFRS shall remain as previously calculated or determined.</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10.06(h)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has the meaning given to such term in the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the Persons set forth on </w:t>
      </w:r>
      <w:r>
        <w:rPr>
          <w:rFonts w:ascii="Times New Roman" w:cs="Times New Roman" w:eastAsia="Times New Roman" w:hAnsi="Times New Roman"/>
          <w:sz w:val="22"/>
          <w:szCs w:val="22"/>
          <w:u w:val="single" w:color="auto"/>
          <w:color w:val="auto"/>
        </w:rPr>
        <w:t>Schedule 1.01(iii)</w:t>
      </w:r>
      <w:r>
        <w:rPr>
          <w:rFonts w:ascii="Times New Roman" w:cs="Times New Roman" w:eastAsia="Times New Roman" w:hAnsi="Times New Roman"/>
          <w:sz w:val="22"/>
          <w:szCs w:val="22"/>
          <w:color w:val="auto"/>
        </w:rPr>
        <w:t xml:space="preserve"> and each New Restricted Subsidiary required to become a Guarantor pursuant to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For the avoidance of doubt, no Foreign Subsidiary, Receivables Subsidiary or Special Purpose Producer is required to be or to become a Guarantor under the Loan Documents.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Guaranty made by the Guarantors under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in favor of the Secured Parties.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Supplement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6" w:name="page57"/>
    <w:bookmarkEnd w:id="56"/>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Bank</w:t>
      </w:r>
      <w:r>
        <w:rPr>
          <w:rFonts w:ascii="Times New Roman" w:cs="Times New Roman" w:eastAsia="Times New Roman" w:hAnsi="Times New Roman"/>
          <w:sz w:val="22"/>
          <w:szCs w:val="22"/>
          <w:color w:val="auto"/>
        </w:rPr>
        <w:t>” means any Person that, (i) at the time it enters into a Secured Hedge Agreement, is a Lender or an Affiliate of a Lender, in its capacity as a party to such Secured Hedge Agreement, or (ii) on the Closing Date, is a Lender or an Affiliate of a Lender or was a “Lender” or an “Affiliate” of a “Lender,” under the Original Credit Agreement or the First A&amp;R Credit Agreement, and on the Closing Date is a party to an interest rate hedge under the First A&amp;R Credit Agreement that qualified as a “Secured Hedge Agreement” under the First A&amp;R Credit Agreement, in its capacity as a party to such interest rate hedge.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Honor Date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the International Financial Reporting Standards as adopted by the International Accounting Standards Board.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IFC</w:t>
      </w:r>
      <w:r>
        <w:rPr>
          <w:rFonts w:ascii="Times New Roman" w:cs="Times New Roman" w:eastAsia="Times New Roman" w:hAnsi="Times New Roman"/>
          <w:sz w:val="22"/>
          <w:szCs w:val="22"/>
          <w:color w:val="auto"/>
        </w:rPr>
        <w:t>” means IFC TV LLC, a Delaware limited liability company.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2.13(d)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Equivalent Debt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Fixed Amount</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1,000,000,000</w:t>
      </w:r>
      <w:r>
        <w:rPr>
          <w:rFonts w:ascii="Times New Roman" w:cs="Times New Roman" w:eastAsia="Times New Roman" w:hAnsi="Times New Roman"/>
          <w:sz w:val="22"/>
          <w:szCs w:val="22"/>
          <w:u w:val="single" w:color="auto"/>
          <w:color w:val="0000FF"/>
        </w:rPr>
        <w:t>1,125,000,000</w:t>
      </w:r>
      <w:r>
        <w:rPr>
          <w:rFonts w:ascii="Times New Roman" w:cs="Times New Roman" w:eastAsia="Times New Roman" w:hAnsi="Times New Roman"/>
          <w:sz w:val="22"/>
          <w:szCs w:val="22"/>
          <w:color w:val="auto"/>
        </w:rPr>
        <w:t>. It is understood that (a) the Incremental No. 1 Increase Term A Loans shall not be a utilization of this amount and (b) incurrence of Indebtedness as Incremental Equivalent Debt pursuant to the Company’s 10.25% Senior Secured Notes due 2029 on April 9, 2024 in an aggregate principal amount of $875,000,000 shall be a utilization of this amount.</w:t>
      </w:r>
    </w:p>
    <w:p>
      <w:pPr>
        <w:spacing w:after="0" w:line="19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Leveraging Amount</w:t>
      </w:r>
      <w:r>
        <w:rPr>
          <w:rFonts w:ascii="Times New Roman" w:cs="Times New Roman" w:eastAsia="Times New Roman" w:hAnsi="Times New Roman"/>
          <w:sz w:val="22"/>
          <w:szCs w:val="22"/>
          <w:color w:val="auto"/>
        </w:rPr>
        <w:t xml:space="preserve">” means, with respect to any Leveraging Acquisition, the excess (if any) of (a) the Cash Flow Ratio computed on a pro forma basis after giving effect to the consummation of such Leveraging Acquisition and the incurrence of Indebtedness in connection therewith, calculated (i) as of the last day of the Quarter most recently ended prior to the date of consummation of such Leveraging Acquisition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(ii) as if such Leveraging Acquisition was consummated on the first day of the 12-month period then ended and such Indebtedness was incurred on the last day of such period, over (b) the Cash Flow 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It is understood that the Incremental No. 1 Increase Term A Loans shall not be a utilization of this amount.</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No. 1 Increase Term A Loan</w:t>
      </w:r>
      <w:r>
        <w:rPr>
          <w:rFonts w:ascii="Times New Roman" w:cs="Times New Roman" w:eastAsia="Times New Roman" w:hAnsi="Times New Roman"/>
          <w:sz w:val="22"/>
          <w:szCs w:val="22"/>
          <w:color w:val="auto"/>
        </w:rPr>
        <w:t>” means an Incremental Loan made on the Amendment No. 3 Effective Date in lieu of a cash payment of the Prepayment Principal Amount payable to the applicable Consenting Lender (as defined in Amendment No. 3) pursuant to the Incremental Exchange (as defined in Amendment No. 3).</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Ratio Amount</w:t>
      </w:r>
      <w:r>
        <w:rPr>
          <w:rFonts w:ascii="Times New Roman" w:cs="Times New Roman" w:eastAsia="Times New Roman" w:hAnsi="Times New Roman"/>
          <w:sz w:val="22"/>
          <w:szCs w:val="22"/>
          <w:color w:val="auto"/>
        </w:rPr>
        <w:t>” means an aggregate principal amount which, after giving pro forma effect to such incurrence (assuming any increased Revolving Credit Facility is fully drawn on the date of such increase) would not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7" w:name="page58"/>
    <w:bookmarkEnd w:id="57"/>
    <w:p>
      <w:pPr>
        <w:jc w:val="both"/>
        <w:ind w:left="660" w:firstLine="1292"/>
        <w:spacing w:after="0" w:line="257" w:lineRule="auto"/>
        <w:tabs>
          <w:tab w:leader="none" w:pos="253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increase in Revolving Commitments, an increase in the Term A Facilities, an Incremental Facility to be incurred on a pari passu basis or Incremental Equivalent Debt to be incurred on a pari passu basis, the Senior Secured Leverage Ratio to exceed 3.00 to 1.00 as of the date of the incurrence or increase;</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 Incremental Term Facility to be incurred on a junior lien or unsecured basis or Incremental Equivalent Debt to be incurred on a junior lien or unsecured basis, the Senior Secured Leverage Ratio to exceed 3.00 to 1.00 as of the date of the incurrence;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solely for purposes of calculating the Senior Secured Leverage Ratio pursuant to this clause (b), all junior lien and unsecured Incremental Term Loans and Incremental Equivalent Debt shall be deemed to be secured on a pari passu basis with the Obligations for purposes of calculating the Senior Secured Leverage Ratio.</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Borrowing</w:t>
      </w:r>
      <w:r>
        <w:rPr>
          <w:rFonts w:ascii="Times New Roman" w:cs="Times New Roman" w:eastAsia="Times New Roman" w:hAnsi="Times New Roman"/>
          <w:sz w:val="22"/>
          <w:szCs w:val="22"/>
          <w:color w:val="auto"/>
        </w:rPr>
        <w:t xml:space="preserve">” means a borrowing consisting of simultaneous Incremental Term Loans of the same Type and, in the case of SOFR Loans, having the same Interest Period made by each of the Incremental Term Lenders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Facility</w:t>
      </w:r>
      <w:r>
        <w:rPr>
          <w:rFonts w:ascii="Times New Roman" w:cs="Times New Roman" w:eastAsia="Times New Roman" w:hAnsi="Times New Roman"/>
          <w:sz w:val="22"/>
          <w:szCs w:val="22"/>
          <w:color w:val="auto"/>
        </w:rPr>
        <w:t>” means, any additional tranche of Incremental Term Commitments and Incremental Term Loans established pursuant to an Incremental Term Supplement.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means a Lender with an Incremental Term Commitment or an outstanding Incremental Term Loan.</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Note</w:t>
      </w:r>
      <w:r>
        <w:rPr>
          <w:rFonts w:ascii="Times New Roman" w:cs="Times New Roman" w:eastAsia="Times New Roman" w:hAnsi="Times New Roman"/>
          <w:sz w:val="22"/>
          <w:szCs w:val="22"/>
          <w:color w:val="auto"/>
        </w:rPr>
        <w:t>” means a promissory note made by the Borrower in favor of an Incremental Term Lender, evidencing Incremental Term Loans made by such Incremental Term Lender, substantially in the form attached to the Incremental Term Supplement.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Supplement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means, as to any Person, Finance Lease Obligations of such Person and other indebtedness of such Person for borrowed money (whether by loan or the issuance and sale of debt securities) or for the deferred purchase or acquisition price of property or services other than accounts payable and accrued expenses (other than for borrowed money) incurred in the ordinary course of business of such Person. Without limiting the generality of the foregoing, such term shall include (a) when applied to the Borrower and/or any Restricted Subsidiary, all obligations of the Borrower and/or any Restricted Subsidiary under Swap Contracts and (b) when applied to the Borrower or any other Person, all Indebtedness of others Guaranteed by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obligations incurred using credit cards issued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8" w:name="page59"/>
    <w:bookmarkEnd w:id="58"/>
    <w:p>
      <w:pPr>
        <w:jc w:val="both"/>
        <w:spacing w:after="0" w:line="249" w:lineRule="auto"/>
        <w:rPr>
          <w:sz w:val="20"/>
          <w:szCs w:val="20"/>
          <w:color w:val="auto"/>
        </w:rPr>
      </w:pPr>
      <w:r>
        <w:rPr>
          <w:rFonts w:ascii="Times New Roman" w:cs="Times New Roman" w:eastAsia="Times New Roman" w:hAnsi="Times New Roman"/>
          <w:sz w:val="22"/>
          <w:szCs w:val="22"/>
          <w:color w:val="auto"/>
        </w:rPr>
        <w:t>Company, its Restricted Subsidiaries or their respective employees and (ii) any obligations under or in respect of any Qualified Receivables Financing shall not constitute Indebtedness. For the avoidance of doubt Indebtedness convertible, or exchangeable for, stock (or other security and/or property of a Person following a merger event with respect to, or reclassification or other change to the stock in, such Persons) and/or cash (the amount of cash determined by reference to the price of such stock, securities and/or property), or any combination thereof, including Permitted Convertible / Exchange Indebtedness, shall at all times prior to the repurchase, conversion or payment thereof be valued at the full stated principal amount thereof and shall not include any reduction or appreciation in value of the stock, securities, property and/or cash deliverable upon conversion or exchange thereof.</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the Copyrights, Copyright Licenses, Patents, Patent Licenses, Software, Trade Secrets, Trade Secret Licenses, Trademarks and Trademark Licenses of the Loan Parties.</w:t>
      </w:r>
    </w:p>
    <w:p>
      <w:pPr>
        <w:spacing w:after="0" w:line="15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 Security Agreement</w:t>
      </w:r>
      <w:r>
        <w:rPr>
          <w:rFonts w:ascii="Times New Roman" w:cs="Times New Roman" w:eastAsia="Times New Roman" w:hAnsi="Times New Roman"/>
          <w:sz w:val="21"/>
          <w:szCs w:val="21"/>
          <w:color w:val="auto"/>
        </w:rPr>
        <w:t xml:space="preserve">” means an Intellectual Property Security Agreement, between each Loan Party owning any Intellectual Property or applications for Intellectual Property and the Collateral Agent, for the benefit of the Secured Parties, and any similar security agreement or any security agreement supplement delivered pursuant to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SOFR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any Interest Period for a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as to each SOFR Loan, the period commencing on the date of such Borrowing and ending on the numerically corresponding day in the calendar month that is one, three or six months (or such lesser period (subject to availability) if agreed to by all affected Lenders) thereafter, as the Borrower may elect;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59" w:name="page60"/>
    <w:bookmarkEnd w:id="5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continuation of such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an Interest Period shall be limited to the extent required under Section 2.02.</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the International Standby Practices (ISP98) International Chamber of Commerce Publication No. 590, as the same may be amended and as in effect from time to time.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with respect to any Letter of Credit issued by any L/C Issuer, the Letter of Credit Application, and any other document, agreement and instrument entered into by such L/C Issuer and the Borrower or any Subsidiary or in favor of such L/C Issuer and relating to any such Letter of Credit.</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Lead Arrangers</w:t>
      </w:r>
      <w:r>
        <w:rPr>
          <w:rFonts w:ascii="Times New Roman" w:cs="Times New Roman" w:eastAsia="Times New Roman" w:hAnsi="Times New Roman"/>
          <w:sz w:val="22"/>
          <w:szCs w:val="22"/>
          <w:color w:val="auto"/>
        </w:rPr>
        <w:t xml:space="preserve"> ”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Closing Date), in its capacity as the “left” lead arranger for the Facilities, and JPMCB.</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means JPMorgan Chase Bank, N.A., a national banking association.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JPMCB Fee Letter</w:t>
      </w:r>
      <w:r>
        <w:rPr>
          <w:rFonts w:ascii="Times New Roman" w:cs="Times New Roman" w:eastAsia="Times New Roman" w:hAnsi="Times New Roman"/>
          <w:sz w:val="22"/>
          <w:szCs w:val="22"/>
          <w:color w:val="auto"/>
        </w:rPr>
        <w:t>” means the letter agreement, dated June 30, 2011, between the Company and the Administrative Agent.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directives, requests, licenses, authorizations and permits of, and agreements with, any Governmental Authority, in each case whether or not having the force of law.</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Revolving Credit Lender, such Lender’s funding of its participation in any L/C Borrowing in accordance with its Applicable Revolving Credit Percentage.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Borrowing</w:t>
      </w:r>
      <w:r>
        <w:rPr>
          <w:rFonts w:ascii="Times New Roman" w:cs="Times New Roman" w:eastAsia="Times New Roman" w:hAnsi="Times New Roman"/>
          <w:sz w:val="22"/>
          <w:szCs w:val="22"/>
          <w:color w:val="auto"/>
        </w:rPr>
        <w:t>” means an extension of credit resulting from a drawing under any Letter of Credit which has not been reimbursed on the date when made or refinanced as a Revolving Credit Borrowing.</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with respect to any L/C Issuer, the aggregate face amount of Letters of Credit that such L/C Issuer has committed, in writing, to provide subject to the terms and conditions set forth in this Credit Agreement. The L/C Commitments of the L/C Issuers as of the Closing Date are as set forth on </w:t>
      </w:r>
      <w:r>
        <w:rPr>
          <w:rFonts w:ascii="Times New Roman" w:cs="Times New Roman" w:eastAsia="Times New Roman" w:hAnsi="Times New Roman"/>
          <w:sz w:val="22"/>
          <w:szCs w:val="22"/>
          <w:u w:val="single" w:color="auto"/>
          <w:color w:val="auto"/>
        </w:rPr>
        <w:t>Schedule 2.03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0" w:name="page61"/>
    <w:bookmarkEnd w:id="60"/>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increase of the amount thereof.</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means each of (i) JPMCB in its capacity as an issuer of Letters of Credit hereunder or any successor issuer of Letters of Credit hereunder, (ii) Bank of America in its capacity as an issuer of Letters of Credit hereunder or any successor issuer of Letters of Credit hereunder and (iii) any other Lender reasonably acceptable to the Company and Administrative Agent that has agreed to act as an L/C Issuer hereunder.</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as of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For all purposes of this Credit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means leases and subleases (excluding Finance Lease Obligations), licenses to use property,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easements.</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the banks or other financial institutions which are parties hereto, including the Swingline Lender and any Incremental Term Lender, together with their respective successors and assigns.</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Insolvency Event</w:t>
      </w:r>
      <w:r>
        <w:rPr>
          <w:rFonts w:ascii="Times New Roman" w:cs="Times New Roman" w:eastAsia="Times New Roman" w:hAnsi="Times New Roman"/>
          <w:sz w:val="22"/>
          <w:szCs w:val="22"/>
          <w:color w:val="auto"/>
        </w:rPr>
        <w:t xml:space="preserve">” means that (i) a Lender or its Lender Parent is insolvent, (ii) a Lender or its Lender Parent has become the subject of a Bail-In Action, or (iii) an event of the kind referred to in clause (g)(ii), (g)(v) or (h) of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occurs, excluding any Undisclosed Administration, with respect to such Lender or its Lender Parent (as if the references in such provisions to the Company or Significant Restricted Subsidiaries referred to such Lender or Lender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8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 Lender, the bank holding company (as defined in Federal Reserve Board Regulation Y), if any, of such Lender, or any Person owning, beneficially or of record, directly or indirectly, a majority of the shares of such Lender.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Party</w:t>
      </w:r>
      <w:r>
        <w:rPr>
          <w:rFonts w:ascii="Times New Roman" w:cs="Times New Roman" w:eastAsia="Times New Roman" w:hAnsi="Times New Roman"/>
          <w:sz w:val="22"/>
          <w:szCs w:val="22"/>
          <w:color w:val="auto"/>
        </w:rPr>
        <w:t>” means any Lender, any L/C Issuer or the Swingline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Party Appointment Period</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9.06(a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A Letter of Credit may be a commercial letter of credit or a standby letter of credit.</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applicable L/C Issuer.</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means the day that is seven days prior to the Maturity Date then in effect for the Revolving Credit Facility (or, if such day is not a Business Day, the next preceding Business Day).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$50,000,000. The Letter of Credit Sublimit is part of, and not in addition to, the Revolving Credit Facility.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Leveraging Acquisition</w:t>
      </w:r>
      <w:r>
        <w:rPr>
          <w:rFonts w:ascii="Times New Roman" w:cs="Times New Roman" w:eastAsia="Times New Roman" w:hAnsi="Times New Roman"/>
          <w:sz w:val="22"/>
          <w:szCs w:val="22"/>
          <w:color w:val="auto"/>
        </w:rPr>
        <w:t>” means any Permitted Acquisition made in compliance with the terms of this Credit Agreement the consideration for which is funded in whole or in part with Indebtedness incurred by the Borrower or any Restricted Subsidiary in an aggregate principal amount in excess of $250,000,000.</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the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 Swingline Loan or Revolving Credit Loan.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(a) this Credit Agreement, (b) the Notes, (c) the Collateral Documents,</w:t>
      </w:r>
    </w:p>
    <w:p>
      <w:pPr>
        <w:spacing w:after="0" w:line="29" w:lineRule="exact"/>
        <w:rPr>
          <w:sz w:val="20"/>
          <w:szCs w:val="20"/>
          <w:color w:val="auto"/>
        </w:rPr>
      </w:pPr>
    </w:p>
    <w:p>
      <w:pPr>
        <w:jc w:val="both"/>
        <w:ind w:firstLine="8"/>
        <w:spacing w:after="0" w:line="248" w:lineRule="auto"/>
        <w:tabs>
          <w:tab w:leader="none" w:pos="3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Fee Letters, (e) each Issuer Document, (f) each Secured Hedge Agreement, (g) each Secured Cash Management Agreement, and (h) each Incremental Term Supplement,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the definition of “</w:t>
      </w:r>
      <w:r>
        <w:rPr>
          <w:rFonts w:ascii="Times New Roman" w:cs="Times New Roman" w:eastAsia="Times New Roman" w:hAnsi="Times New Roman"/>
          <w:sz w:val="22"/>
          <w:szCs w:val="22"/>
          <w:u w:val="single" w:color="auto"/>
          <w:color w:val="auto"/>
        </w:rPr>
        <w:t>Materially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Adverse Effect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Articles V</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shall not include Secured Hedge Agreements or Secured Cash Management Agreements.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Guarantor.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Borrowing</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as defined in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2" w:name="page63"/>
    <w:bookmarkEnd w:id="62"/>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Materially Adverse Effect</w:t>
      </w:r>
      <w:r>
        <w:rPr>
          <w:rFonts w:ascii="Times New Roman" w:cs="Times New Roman" w:eastAsia="Times New Roman" w:hAnsi="Times New Roman"/>
          <w:sz w:val="21"/>
          <w:szCs w:val="21"/>
          <w:color w:val="auto"/>
        </w:rPr>
        <w:t>” means a materially adverse effect upon (i) the business, assets, financial condition or results of operations of the Company and the Restricted Subsidiaries taken as a whole on a combined basis in accordance with GAAP, (ii) the ability of the Company and the Restricted Subsidiaries taken as a whole to perform the Obligations hereunder or</w:t>
      </w:r>
    </w:p>
    <w:p>
      <w:pPr>
        <w:spacing w:after="0" w:line="3" w:lineRule="exact"/>
        <w:rPr>
          <w:sz w:val="20"/>
          <w:szCs w:val="20"/>
          <w:color w:val="auto"/>
        </w:rPr>
      </w:pPr>
    </w:p>
    <w:p>
      <w:pPr>
        <w:jc w:val="both"/>
        <w:ind w:firstLine="8"/>
        <w:spacing w:after="0" w:line="252" w:lineRule="auto"/>
        <w:tabs>
          <w:tab w:leader="none" w:pos="3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legality, validity, binding nature or enforceability of this Credit Agreement or any other Loan Document or the validity, perfection, priority or enforceability of the security interest created, or purported to be created, by any of the Collateral Documents.</w:t>
      </w:r>
    </w:p>
    <w:p>
      <w:pPr>
        <w:spacing w:after="0" w:line="17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xml:space="preserve">” means (a) with respect to the </w:t>
      </w:r>
      <w:r>
        <w:rPr>
          <w:rFonts w:ascii="Times New Roman" w:cs="Times New Roman" w:eastAsia="Times New Roman" w:hAnsi="Times New Roman"/>
          <w:sz w:val="21"/>
          <w:szCs w:val="21"/>
          <w:u w:val="single" w:color="auto"/>
          <w:color w:val="0000FF"/>
        </w:rPr>
        <w:t>Non-Extended</w:t>
      </w:r>
      <w:r>
        <w:rPr>
          <w:rFonts w:ascii="Times New Roman" w:cs="Times New Roman" w:eastAsia="Times New Roman" w:hAnsi="Times New Roman"/>
          <w:sz w:val="21"/>
          <w:szCs w:val="21"/>
          <w:color w:val="auto"/>
        </w:rPr>
        <w:t xml:space="preserve"> Revolving Credit Facility, </w:t>
      </w:r>
      <w:r>
        <w:rPr>
          <w:rFonts w:ascii="Times New Roman" w:cs="Times New Roman" w:eastAsia="Times New Roman" w:hAnsi="Times New Roman"/>
          <w:sz w:val="21"/>
          <w:szCs w:val="21"/>
          <w:color w:val="FF0000"/>
          <w:strike w:val="1"/>
        </w:rPr>
        <w:t>April 9, 2028, (b)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respect to</w:t>
      </w:r>
      <w:r>
        <w:rPr>
          <w:rFonts w:ascii="Times New Roman" w:cs="Times New Roman" w:eastAsia="Times New Roman" w:hAnsi="Times New Roman"/>
          <w:sz w:val="21"/>
          <w:szCs w:val="21"/>
          <w:u w:val="single" w:color="auto"/>
          <w:color w:val="0000FF"/>
        </w:rPr>
        <w:t>the Extended Revolving Credit Facility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Non-Extended Term A Facility</w:t>
      </w:r>
      <w:r>
        <w:rPr>
          <w:rFonts w:ascii="Times New Roman" w:cs="Times New Roman" w:eastAsia="Times New Roman" w:hAnsi="Times New Roman"/>
          <w:sz w:val="21"/>
          <w:szCs w:val="21"/>
          <w:color w:val="FF0000"/>
          <w:strike w:val="1"/>
        </w:rPr>
        <w:t>, February 8, 2026, (c) with respect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the Extended Term A Facility, </w:t>
      </w:r>
      <w:r>
        <w:rPr>
          <w:rFonts w:ascii="Times New Roman" w:cs="Times New Roman" w:eastAsia="Times New Roman" w:hAnsi="Times New Roman"/>
          <w:sz w:val="21"/>
          <w:szCs w:val="21"/>
          <w:color w:val="FF0000"/>
          <w:strike w:val="1"/>
        </w:rPr>
        <w:t>April 9, 2028 and (d</w:t>
      </w:r>
      <w:r>
        <w:rPr>
          <w:rFonts w:ascii="Times New Roman" w:cs="Times New Roman" w:eastAsia="Times New Roman" w:hAnsi="Times New Roman"/>
          <w:sz w:val="21"/>
          <w:szCs w:val="21"/>
          <w:u w:val="single" w:color="auto"/>
          <w:color w:val="0000FF"/>
        </w:rPr>
        <w:t>the earlier of (x) the Scheduled Maturity Date with respect to such Facility and</w:t>
      </w:r>
    </w:p>
    <w:p>
      <w:pPr>
        <w:spacing w:after="0" w:line="3" w:lineRule="exact"/>
        <w:rPr>
          <w:sz w:val="20"/>
          <w:szCs w:val="20"/>
          <w:color w:val="auto"/>
        </w:rPr>
      </w:pPr>
    </w:p>
    <w:p>
      <w:pPr>
        <w:jc w:val="both"/>
        <w:ind w:firstLine="8"/>
        <w:spacing w:after="0" w:line="246" w:lineRule="auto"/>
        <w:tabs>
          <w:tab w:leader="none" w:pos="331" w:val="left"/>
        </w:tabs>
        <w:numPr>
          <w:ilvl w:val="0"/>
          <w:numId w:val="3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date that is 90 days prior to the stated maturity date of any Capital Markets Debt with an aggregate principal amount outstanding as of such date of at least $50,000,000, if, as of such date, such Capital Markets Debt remains outstanding in excess of such amount and has not been refinanced, extended, renewed, replaced or refunded in full (other than such amount) with indebtedness having a maturity date at least 90 days after the Scheduled Maturity Date and (b</w:t>
      </w:r>
      <w:r>
        <w:rPr>
          <w:rFonts w:ascii="Times New Roman" w:cs="Times New Roman" w:eastAsia="Times New Roman" w:hAnsi="Times New Roman"/>
          <w:sz w:val="22"/>
          <w:szCs w:val="22"/>
          <w:color w:val="000000"/>
        </w:rPr>
        <w:t>) with respect to each Incremental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Term Facility or Extension Series, if any, the </w:t>
      </w:r>
      <w:r>
        <w:rPr>
          <w:rFonts w:ascii="Times New Roman" w:cs="Times New Roman" w:eastAsia="Times New Roman" w:hAnsi="Times New Roman"/>
          <w:sz w:val="22"/>
          <w:szCs w:val="22"/>
          <w:color w:val="00CC00"/>
          <w:strike w:val="1"/>
        </w:rPr>
        <w:t>date specified as such in the respective Incremental Term Supplement or Extension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00CC00"/>
          <w:strike w:val="1"/>
        </w:rPr>
        <w:t>Amendment, as applicable</w:t>
      </w:r>
      <w:r>
        <w:rPr>
          <w:rFonts w:ascii="Times New Roman" w:cs="Times New Roman" w:eastAsia="Times New Roman" w:hAnsi="Times New Roman"/>
          <w:sz w:val="22"/>
          <w:szCs w:val="22"/>
          <w:u w:val="single" w:color="auto"/>
          <w:color w:val="0000FF"/>
        </w:rPr>
        <w:t>Scheduled Maturity Date thereof</w:t>
      </w:r>
      <w:r>
        <w:rPr>
          <w:rFonts w:ascii="Times New Roman" w:cs="Times New Roman" w:eastAsia="Times New Roman" w:hAnsi="Times New Roman"/>
          <w:sz w:val="22"/>
          <w:szCs w:val="22"/>
          <w:color w:val="000000"/>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Cash Flow Ratio</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7.27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Monetization Indebtedness</w:t>
      </w:r>
      <w:r>
        <w:rPr>
          <w:rFonts w:ascii="Times New Roman" w:cs="Times New Roman" w:eastAsia="Times New Roman" w:hAnsi="Times New Roman"/>
          <w:sz w:val="22"/>
          <w:szCs w:val="22"/>
          <w:color w:val="auto"/>
        </w:rPr>
        <w:t xml:space="preserve">” means any Indebtedness of the Company or any Restricted Subsidiary thereof issued in connection with a Monetization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on the date of its incurrence, the purchase price or principal amount of such Monetization Indebtedness does not exceed the fair market value of the securities that are the subject of such Monetization Transaction on such date and (ii) the obligations of the Company and its Restricted Subsidiaries with respect to the purchase price or principal amount of such Monetization Indebtedness (x) may be satisfied in full by delivery of the securities that are the subject of such Monetization Transaction and any related options on such securities or any proceeds received by the Company or any Restricted Subsidiary thereof on account of such options;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the Company or such Restricted Subsidiary no longer owns sufficient securities that were the subject of such Monetization Transaction and/or related options on such securities to satisfy in full the obligations of the Company and its Restricted Subsidiaries under such Monetization Indebtedness, such Indebtedness shall no longer be deemed to be Monetization Indebtedness, and (y) are not secured by any Liens on any of the Company’s or its Restricted Subsidiaries’ assets other than the securities that are the subject of such Monetization Transaction and the related options on such securities.</w:t>
      </w:r>
    </w:p>
    <w:p>
      <w:pPr>
        <w:spacing w:after="0" w:line="18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Monetization Transaction</w:t>
      </w:r>
      <w:r>
        <w:rPr>
          <w:rFonts w:ascii="Times New Roman" w:cs="Times New Roman" w:eastAsia="Times New Roman" w:hAnsi="Times New Roman"/>
          <w:sz w:val="22"/>
          <w:szCs w:val="22"/>
          <w:color w:val="auto"/>
        </w:rPr>
        <w:t>” means a transaction pursuant to which (i) securities received pursuant to a Disposition or Exchange are sold, transferred or otherwise conveyed (including by way of a forward purchase agreement, prepaid forward sale agreement, secured borrowing or similar agreement) within 180 days of such Disposition or Exchange and (ii) the Company or its Restricted Subsidiaries receive (including by way of borrowing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Monetization Indebtedness) not less than 75% of the fair market value of such securities in the form of cash.</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Plan that is a multiemployer plan as defined in Section 4001(a)(3) of ERISA.</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Negative Pick-up Obligation</w:t>
      </w:r>
      <w:r>
        <w:rPr>
          <w:rFonts w:ascii="Times New Roman" w:cs="Times New Roman" w:eastAsia="Times New Roman" w:hAnsi="Times New Roman"/>
          <w:sz w:val="22"/>
          <w:szCs w:val="22"/>
          <w:color w:val="auto"/>
        </w:rPr>
        <w:t>” means a commitment to pay a certain sum of money or other Investment made by the Borrower or Restricted Subsidiary in order to obtain ownership, distribution rights or sales agency rights in any item of content, including, for the avoidance of doubt, any item of content produced by the Borrower or any Restricted Subsidiary. Negative Pick-up Obligation includes both “traditional” negative pickup arrangements and indirect structures.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Cash Proceeds</w:t>
      </w:r>
      <w:r>
        <w:rPr>
          <w:rFonts w:ascii="Times New Roman" w:cs="Times New Roman" w:eastAsia="Times New Roman" w:hAnsi="Times New Roman"/>
          <w:sz w:val="21"/>
          <w:szCs w:val="21"/>
          <w:color w:val="auto"/>
        </w:rPr>
        <w:t>” means proceeds received by the Company or any of the Restricted Subsidiaries in cash from</w:t>
      </w:r>
    </w:p>
    <w:p>
      <w:pPr>
        <w:spacing w:after="0" w:line="39" w:lineRule="exact"/>
        <w:rPr>
          <w:sz w:val="20"/>
          <w:szCs w:val="20"/>
          <w:color w:val="auto"/>
        </w:rPr>
      </w:pPr>
    </w:p>
    <w:p>
      <w:pPr>
        <w:jc w:val="both"/>
        <w:ind w:firstLine="8"/>
        <w:spacing w:after="0" w:line="259" w:lineRule="auto"/>
        <w:tabs>
          <w:tab w:leader="none" w:pos="31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or the incurrence, issuance or sale of Indebtedness or capital stock of the Company or any of the Restricted Subsidiaries, in each case after deduction of the underwriting discounts and commissions in, the costs of, and any income, franchise, transfer or other tax liability arising from, such sale, Disposition, incurrence or issuance, (y) a capital contribution in respect of the common stock of any class of the Company to the Company by the holder thereof, or (z) any insurance, condemnation awards or other payment with respect to an Event of Loss, after deduction of the costs of, and any income, franchise, transfer or other tax liability arising therefrom. If any amount payable to the Company or any such Restricted Subsidiary in respect of any such incurrence or issuance shall be or become evidenced by any promissory note or other negotiable or non-negotiable instrument, the cash proceeds received on any such note or instrument shall constitute Net Cash Proceeds.</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Debt</w:t>
      </w:r>
      <w:r>
        <w:rPr>
          <w:rFonts w:ascii="Times New Roman" w:cs="Times New Roman" w:eastAsia="Times New Roman" w:hAnsi="Times New Roman"/>
          <w:sz w:val="22"/>
          <w:szCs w:val="22"/>
          <w:color w:val="auto"/>
        </w:rPr>
        <w:t xml:space="preserve">” means, as to the Company and the Restricted Subsidiaries as at any date of determination, the aggregate amount of all Indebtedness of the Company and the Restricted Subsidiaries, less the aggregate amount of Qualified Cash of the Company and the Restricted Subsidiaries as of such date in an aggregate amount not to exceed 75% of Adjusted Operating Income for the period of four consecutive Quarters covered by the then most recent Compliance Certificate delivered to the Lenders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Restricted Subsidiary</w:t>
      </w:r>
      <w:r>
        <w:rPr>
          <w:rFonts w:ascii="Times New Roman" w:cs="Times New Roman" w:eastAsia="Times New Roman" w:hAnsi="Times New Roman"/>
          <w:sz w:val="22"/>
          <w:szCs w:val="22"/>
          <w:color w:val="auto"/>
        </w:rPr>
        <w:t xml:space="preserve">” means any New Subsidiary designated as a Restricted Subsidiary pursuant to </w:t>
      </w:r>
      <w:r>
        <w:rPr>
          <w:rFonts w:ascii="Times New Roman" w:cs="Times New Roman" w:eastAsia="Times New Roman" w:hAnsi="Times New Roman"/>
          <w:sz w:val="22"/>
          <w:szCs w:val="22"/>
          <w:u w:val="single" w:color="auto"/>
          <w:color w:val="auto"/>
        </w:rPr>
        <w:t>Section 7.08(b)</w:t>
      </w:r>
      <w:r>
        <w:rPr>
          <w:rFonts w:ascii="Times New Roman" w:cs="Times New Roman" w:eastAsia="Times New Roman" w:hAnsi="Times New Roman"/>
          <w:sz w:val="22"/>
          <w:szCs w:val="22"/>
          <w:color w:val="auto"/>
        </w:rPr>
        <w:t xml:space="preserve"> and any Unrestricted Subsidiary redesignated as a Restricted Subsidiary pursuant to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Subsidiary</w:t>
      </w:r>
      <w:r>
        <w:rPr>
          <w:rFonts w:ascii="Times New Roman" w:cs="Times New Roman" w:eastAsia="Times New Roman" w:hAnsi="Times New Roman"/>
          <w:sz w:val="22"/>
          <w:szCs w:val="22"/>
          <w:color w:val="auto"/>
        </w:rPr>
        <w:t>” means any Person that becomes a Subsidiary of the Company on or after the Closing Date.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Unrestricted Subsidiary</w:t>
      </w:r>
      <w:r>
        <w:rPr>
          <w:rFonts w:ascii="Times New Roman" w:cs="Times New Roman" w:eastAsia="Times New Roman" w:hAnsi="Times New Roman"/>
          <w:sz w:val="22"/>
          <w:szCs w:val="22"/>
          <w:color w:val="auto"/>
        </w:rPr>
        <w:t xml:space="preserve">” means any New Subsidiary deemed an Unrestricted Subsidiary pursuant to </w:t>
      </w:r>
      <w:r>
        <w:rPr>
          <w:rFonts w:ascii="Times New Roman" w:cs="Times New Roman" w:eastAsia="Times New Roman" w:hAnsi="Times New Roman"/>
          <w:sz w:val="22"/>
          <w:szCs w:val="22"/>
          <w:u w:val="single" w:color="auto"/>
          <w:color w:val="auto"/>
        </w:rPr>
        <w:t>Section 7.08(a)</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 Lender that is not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4" w:name="page65"/>
    <w:bookmarkEnd w:id="64"/>
    <w:p>
      <w:pPr>
        <w:jc w:val="both"/>
        <w:ind w:firstLine="1296"/>
        <w:spacing w:after="0" w:line="249" w:lineRule="auto"/>
        <w:rPr>
          <w:sz w:val="20"/>
          <w:szCs w:val="20"/>
          <w:color w:val="auto"/>
        </w:rPr>
      </w:pPr>
      <w:r>
        <w:rPr>
          <w:rFonts w:ascii="Times New Roman" w:cs="Times New Roman" w:eastAsia="Times New Roman" w:hAnsi="Times New Roman"/>
          <w:sz w:val="22"/>
          <w:szCs w:val="22"/>
          <w:u w:val="single" w:color="auto"/>
          <w:color w:val="0000FF"/>
        </w:rPr>
        <w:t xml:space="preserve">“Non-Extended Revolving Credit Commitment” means, as to each Non-Extended Revolving Credit Lender, its obligation to (a) make Revolving Credit Loans to the Borrower pursuant to Section 2.01(b), and (b) purchase participations in L/C Obligations, in an aggregate principal amount at any one time outstanding not to exceed the amount set forth opposite such Lender’s name on Schedule 2.01 attached to Amendment No. 3 under the caption “Revolving Credit Commitment” or opposite such caption in the Assignment and Assumption pursuant to which such Lender becomes a party hereto, as applicable, as such amount may be adjusted from time to time in accordance with this Credit Agreement. On the Amendment No. 5 </w:t>
      </w:r>
      <w:r>
        <w:rPr>
          <w:rFonts w:ascii="Times New Roman" w:cs="Times New Roman" w:eastAsia="Times New Roman" w:hAnsi="Times New Roman"/>
          <w:sz w:val="22"/>
          <w:szCs w:val="22"/>
          <w:u w:val="single" w:color="auto"/>
          <w:color w:val="00CC00"/>
        </w:rPr>
        <w:t>Effective Date,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C00"/>
        </w:rPr>
        <w:t xml:space="preserve">after giving effect to the Amendment No. </w:t>
      </w:r>
      <w:r>
        <w:rPr>
          <w:rFonts w:ascii="Times New Roman" w:cs="Times New Roman" w:eastAsia="Times New Roman" w:hAnsi="Times New Roman"/>
          <w:sz w:val="22"/>
          <w:szCs w:val="22"/>
          <w:u w:val="single" w:color="auto"/>
          <w:color w:val="0000FF"/>
        </w:rPr>
        <w:t>5 Transactions, the aggregate Non-Extended Revolving Credit Commitments shall be</w:t>
      </w:r>
      <w:r>
        <w:rPr>
          <w:rFonts w:ascii="Times New Roman" w:cs="Times New Roman" w:eastAsia="Times New Roman" w:hAnsi="Times New Roman"/>
          <w:sz w:val="22"/>
          <w:szCs w:val="22"/>
          <w:u w:val="single" w:color="auto"/>
          <w:color w:val="00CC00"/>
        </w:rPr>
        <w:t xml:space="preserve"> </w:t>
      </w:r>
      <w:r>
        <w:rPr>
          <w:rFonts w:ascii="Times New Roman" w:cs="Times New Roman" w:eastAsia="Times New Roman" w:hAnsi="Times New Roman"/>
          <w:sz w:val="22"/>
          <w:szCs w:val="22"/>
          <w:u w:val="single" w:color="auto"/>
          <w:color w:val="0000FF"/>
        </w:rPr>
        <w:t>$63,229,436.</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0000FF"/>
        </w:rPr>
        <w:t xml:space="preserve">“Non-Extended Revolving Credit Facility” means </w:t>
      </w:r>
      <w:r>
        <w:rPr>
          <w:rFonts w:ascii="Times New Roman" w:cs="Times New Roman" w:eastAsia="Times New Roman" w:hAnsi="Times New Roman"/>
          <w:sz w:val="22"/>
          <w:szCs w:val="22"/>
          <w:u w:val="single" w:color="auto"/>
          <w:color w:val="00CC00"/>
        </w:rPr>
        <w:t>at any time after the Amendment No.</w:t>
      </w:r>
      <w:r>
        <w:rPr>
          <w:rFonts w:ascii="Times New Roman" w:cs="Times New Roman" w:eastAsia="Times New Roman" w:hAnsi="Times New Roman"/>
          <w:sz w:val="22"/>
          <w:szCs w:val="22"/>
          <w:u w:val="single" w:color="auto"/>
          <w:color w:val="0000FF"/>
        </w:rPr>
        <w:t xml:space="preserve"> 5 Effective Date, the aggregate principal amount of the Non-Extended Revolving Credit Commitments of all Non-Extended Revolving Credit Lenders outstanding at such time.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“Non-Extended Revolving Credit Lender” means at any time after the Amendment No. 5 Effective Date, any Lender that holds Non-Extended Revolving Credit Commitments at such time.</w:t>
      </w:r>
    </w:p>
    <w:p>
      <w:pPr>
        <w:spacing w:after="0" w:line="158"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u w:val="single" w:color="auto"/>
          <w:color w:val="0000FF"/>
        </w:rPr>
        <w:t>“Non-Extended Revolving Credit Loan” means a Revolving Credit Loan whose maturity was not extended in connection with the Amendment No. 5. On the Amendment No. 5 Effective Date, after giving effect to the Amendment No. 5 Transactions, the aggregate amount of outstanding Non-Extended Revolving Credit Loans shall be $0.</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Term A Facility</w:t>
      </w:r>
      <w:r>
        <w:rPr>
          <w:rFonts w:ascii="Times New Roman" w:cs="Times New Roman" w:eastAsia="Times New Roman" w:hAnsi="Times New Roman"/>
          <w:sz w:val="22"/>
          <w:szCs w:val="22"/>
          <w:color w:val="auto"/>
        </w:rPr>
        <w:t xml:space="preserve">” means at any time after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the aggregate principal amount of the Non-Extended Term A Loans of all Non-Extended Term A Lenders outstanding at such time.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Term A Lender</w:t>
      </w:r>
      <w:r>
        <w:rPr>
          <w:rFonts w:ascii="Times New Roman" w:cs="Times New Roman" w:eastAsia="Times New Roman" w:hAnsi="Times New Roman"/>
          <w:sz w:val="22"/>
          <w:szCs w:val="22"/>
          <w:color w:val="auto"/>
        </w:rPr>
        <w:t xml:space="preserve">” means at any time after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any Lender that holds Non-Extended Term A Loans at such time.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Term A Loan</w:t>
      </w:r>
      <w:r>
        <w:rPr>
          <w:rFonts w:ascii="Times New Roman" w:cs="Times New Roman" w:eastAsia="Times New Roman" w:hAnsi="Times New Roman"/>
          <w:sz w:val="22"/>
          <w:szCs w:val="22"/>
          <w:color w:val="auto"/>
        </w:rPr>
        <w:t xml:space="preserve">” means a Term A Loan, whose maturity was not extended in connection with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On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after giving effect to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Transactions, the aggregate amount of outstanding Non-Extended Term A Loans shall be $</w:t>
      </w:r>
      <w:r>
        <w:rPr>
          <w:rFonts w:ascii="Times New Roman" w:cs="Times New Roman" w:eastAsia="Times New Roman" w:hAnsi="Times New Roman"/>
          <w:sz w:val="22"/>
          <w:szCs w:val="22"/>
          <w:color w:val="FF0000"/>
          <w:strike w:val="1"/>
        </w:rPr>
        <w:t>100,000,000</w:t>
      </w:r>
      <w:r>
        <w:rPr>
          <w:rFonts w:ascii="Times New Roman" w:cs="Times New Roman" w:eastAsia="Times New Roman" w:hAnsi="Times New Roman"/>
          <w:sz w:val="22"/>
          <w:szCs w:val="22"/>
          <w:u w:val="single" w:color="auto"/>
          <w:color w:val="0000FF"/>
        </w:rPr>
        <w:t>85,561,691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A Note, Revolving Credit Note, Swingline Note or Incremental Term Note, if any, as the context may require.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Rate in effect on such day and (b) the Overnight Rate in effect on such day (or for any day that is not a Business Day, for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5" w:name="page66"/>
    <w:bookmarkEnd w:id="6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from a federal funds broker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of the aforesaid rates as so determined shall be less than zero, such rate shall be deemed to be zero for purposes of this Credit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OID</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Credit Agreement</w:t>
      </w:r>
      <w:r>
        <w:rPr>
          <w:rFonts w:ascii="Times New Roman" w:cs="Times New Roman" w:eastAsia="Times New Roman" w:hAnsi="Times New Roman"/>
          <w:sz w:val="22"/>
          <w:szCs w:val="22"/>
          <w:color w:val="auto"/>
        </w:rPr>
        <w:t>” means the Credit Agreement dated as of June 30, 2011 among AMC Networks Inc., as borrower, certain of its subsidiaries party thereto as guarantors, JPMorgan Chase Bank, N.A., as administrative agent thereunder and the lenders from time to time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Applicable Indebtedness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property, mortgage recording or other similar taxes, charges or similar levies arising from any payment made hereunder or under any other Loan Document or from the execution, delivery or enforcement of, or otherwise with respect to, this Credit Agreement or any other Loan Document.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(a) with respect to Loans on any date, the aggregate outstanding principal amount thereof after giving effect to any borrowings and prepayments or repayments thereof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the NYFRB’s Wesbite from time to time, and published on the next succeeding Business Day by the NYFRB as an overnight bank funding rate.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Licenses</w:t>
      </w:r>
      <w:r>
        <w:rPr>
          <w:rFonts w:ascii="Times New Roman" w:cs="Times New Roman" w:eastAsia="Times New Roman" w:hAnsi="Times New Roman"/>
          <w:sz w:val="22"/>
          <w:szCs w:val="22"/>
          <w:color w:val="auto"/>
        </w:rPr>
        <w:t>” means all agreements, whether written or oral, providing for the grant by or to a Person of any right to manufacture, use or sell any invention covered by a Patent.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 all letters patent of the United States or any other country, now existing or hereafter arising, and all improvement patents, reissues, reexaminations, patents of additions, renewals and extensions thereof, and (b) all applications for letters patent of the United States or any other country, now existing or hereafter arising, and all provisions, division, continuations and continuations-in-part and substitutes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entity succeeding to any or all of its functions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ERISA.</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any acquisition (including by merger, amalgamation, consolidation or other form of combination) of all or substantially all of the assets of, or all or substantially all of the Equity Interests (other than directors’ qualifying shares) in, a Person or division, line of business or other business unit of a Person who will become, or which assets will become property of, a Restricted Subsidiary so long as (a) there is no Default or Event of Default both before and after giving pro forma effect to such acquisition and any incurrence of Indebtedness in connection therewith, (b) the Company would be in compliance, on a pro forma basis after giving effect to the consummation of such acquisition and any incurrence of Indebtedness in connection therewith (such pro forma basis to include, in the Company’s discretion, a reasonable estimate of savings resulting from any such acquisition (i) that have been realized, (ii) for which the steps necessary for realization have been taken, or (iii) for which the steps necessary for realization are reasonably expected to be taken within 12 months of the date of such acquisition, in each case, certified by the Company),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such acquisition was consummated and such Indebtedness was incurred on the first day of the 12-month period then 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Financial Covenants for purposes of determining such pro forma compliance, shall be determined in a manner to be more restrictive than the level otherwise applicable for the relevant test period by 0.25:1.00, (c) the acquired company or assets are in the same business as the Company and its subsidiaries or are in a line of business that is generally related to the lines of business conducted by the Company and its subsidiaries, (d) any acquired company and its subsidiaries (other than any Person that shall be a Receivables Subsidiary, a Special Purpose Producer, a Foreign Subsidiary or a Subsidiary that is held directly or indirectly by a Foreign Subsidiary) shall become Guarantors and pledge their assets to the Collateral Agent as and when required in accordance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(e) the Company shall have notified the Administrative Agent at least five Business Days prior to the consummation of such proposed acquisition, and shall have delivered to the Administrative Agent documents related to the proposed acquisition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7" w:name="page68"/>
    <w:bookmarkEnd w:id="67"/>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Affiliate Payments</w:t>
      </w:r>
      <w:r>
        <w:rPr>
          <w:rFonts w:ascii="Times New Roman" w:cs="Times New Roman" w:eastAsia="Times New Roman" w:hAnsi="Times New Roman"/>
          <w:sz w:val="22"/>
          <w:szCs w:val="22"/>
          <w:color w:val="auto"/>
        </w:rPr>
        <w:t>” means payments under equity and other compensation incentive programs to employees and directors of the Borrower or any of its Affiliates in the ordinary course of business.</w:t>
      </w:r>
    </w:p>
    <w:p>
      <w:pPr>
        <w:spacing w:after="0" w:line="158"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Bond Hedge Transactions</w:t>
      </w:r>
      <w:r>
        <w:rPr>
          <w:rFonts w:ascii="Times New Roman" w:cs="Times New Roman" w:eastAsia="Times New Roman" w:hAnsi="Times New Roman"/>
          <w:sz w:val="22"/>
          <w:szCs w:val="22"/>
          <w:color w:val="auto"/>
        </w:rPr>
        <w:t>” means any customary (as conclusively determined by the Borrower in good faith) call, or capped call, option (or economically equivalent swap or other derivative transaction) relating to the common stock in the Company (or other securities and/or property of the Company, following a merger event, with respect to, or a reclassification or other change to the common stock in, the Company) purchased by the Company in connection with the issuance of any Permitted Convertible / Exchange Indebtedness.</w:t>
      </w:r>
    </w:p>
    <w:p>
      <w:pPr>
        <w:spacing w:after="0" w:line="179"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 Exchange Indebtedness</w:t>
      </w:r>
      <w:r>
        <w:rPr>
          <w:rFonts w:ascii="Times New Roman" w:cs="Times New Roman" w:eastAsia="Times New Roman" w:hAnsi="Times New Roman"/>
          <w:sz w:val="22"/>
          <w:szCs w:val="22"/>
          <w:color w:val="auto"/>
        </w:rPr>
        <w:t>” means, collectively: (a) any Indebtedness of the Company that is convertible into, or exchangeable for, common stock or preferred stock (other than Disqualified Equity Interests) in the Company (or other securities and/or property of the Company, following a merger event with respect to, or reclassification or other change to the common stock or preferred stock in, the Company), cash (such amount of cash determined by reference to the price of such common stock, preferred stock (other than Disqualified Equity Interests), or such other securities and/or property), or any combination of any of the foregoing, and cash in lieu of fractional shares of common stock or preferred stock (other than Disqualified Equity Interests); and (b) the Guarantee of any of the Indebtedness described in the foregoing clause (a) by any Guarantor.</w:t>
      </w:r>
    </w:p>
    <w:p>
      <w:pPr>
        <w:spacing w:after="0" w:line="182"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21"/>
          <w:szCs w:val="21"/>
          <w:color w:val="auto"/>
        </w:rPr>
        <w:t>Notwithstanding any other provision contained herein, all computations of amounts and ratios referred to herein shall be made without giving effect to any treatment of Indebtedness relating to convertible secured notes under Accounting Standards Codification 470-20 (or any other Accounting Standards Codification or Financial Accounting Standard having a similar result or effect) requiring the valuation of any such Indebtedness in a reduced or bifurcated manner as described therein. In addition, in the case of any Permitted Convertible / Exchange Indebtedness for which the embedded conversion obligation must be settled by paying solely cash, so long as substantially concurrently with the offering of such Permitted Convertible / Exchange Indebtedness, the Company or a Restricted Subsidiary enters into a cash-settled Permitted Bond Hedge Transaction relating to such Permitted Convertible / Exchange Indebtedness, notwithstanding any other provision contained herein, for so long as such Permitted Bond Hedge Transaction (or a portion thereof corresponding to the amount of outstanding Permitted Convertible / Exchange Indebtedness) remains in effect, all computations of amounts and ratios referred to herein shall be made as if the amount of Indebtedness represented by such Permitted Convertible / Exchange Indebtedness were equal to the face principal amount thereof without regard to any mark-to-market derivative accounting for such Indebtedness.</w:t>
      </w:r>
    </w:p>
    <w:p>
      <w:pPr>
        <w:spacing w:after="0" w:line="17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xml:space="preserve">” means any Indebtedness incurred, issued or sold by the Company after the Closing Date, and any Guarantees thereof issued by the Guarantors permitted pursuant to </w:t>
      </w:r>
      <w:r>
        <w:rPr>
          <w:rFonts w:ascii="Times New Roman" w:cs="Times New Roman" w:eastAsia="Times New Roman" w:hAnsi="Times New Roman"/>
          <w:sz w:val="22"/>
          <w:szCs w:val="22"/>
          <w:u w:val="single" w:color="auto"/>
          <w:color w:val="auto"/>
        </w:rPr>
        <w:t>Section 7.16(viii)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left="660" w:firstLine="644"/>
        <w:spacing w:after="0" w:line="257" w:lineRule="auto"/>
        <w:tabs>
          <w:tab w:leader="none" w:pos="17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(A) shall be unsecured, (B) shall have a commercially reasonable interest rate (which rate shall be deemed commercially reasonable if such Indebtedness is sold by a member of the Financial Industry Regulatory Authority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8" w:name="page69"/>
    <w:bookmarkEnd w:id="68"/>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 xml:space="preserve">underwritten offering, in a private placement pursuant to Rule 144A under the Securities Act of 1933, or on a “best efforts” basis), (C) shall be neither (1) redeemable, payable or required to be purchased or otherwise retired or extinguished in whole or in part at a fixed or determinable date (whether by operation of a sinking fund or otherwise), at the option of any Person other than the Company or upon the occurrence of a condition other than a change of control (as defined in the Debt Instruments governing such Indebtedness) not solely within the control of the Company (such as a redemption required to be made out of future earnings) nor (2) convertible into any other Indebtedness or capital stock of the Company that may be so retired, extinguished or converted, in the case of clause (1) or (2) above, at any time before the date that is six months after the last Maturity Date applicable to the Facilities as in effect at the time of the incurrence, issuance or sale of such Indebtedness, (D) shall have a weighted average life to maturity equal to or greater than the weighted average life to maturity of the Facilities (assuming each of the Facilities had been entered into with a six month additional weighted life), (E) shall be issued subject to the demonstration of pro forma compliance after giving effect to such Indebtedness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incurred on the first day of the 12-month period then ended and (F) and shall have terms and conditions are customary (as conclusively determined by the Borrower in good faith) for similar Indebtedness in light of then-prevailing market conditions as of the time of incurrence thereof; and</w:t>
      </w:r>
    </w:p>
    <w:p>
      <w:pPr>
        <w:spacing w:after="0" w:line="212" w:lineRule="exact"/>
        <w:rPr>
          <w:sz w:val="20"/>
          <w:szCs w:val="20"/>
          <w:color w:val="auto"/>
        </w:rPr>
      </w:pPr>
    </w:p>
    <w:p>
      <w:pPr>
        <w:ind w:left="660" w:firstLine="644"/>
        <w:spacing w:after="0" w:line="271" w:lineRule="auto"/>
        <w:tabs>
          <w:tab w:leader="none" w:pos="179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the incurrence, issuance or sale of such Indebtedness, no Default shall have occurred and be continuing, and the Company shall have so certified to the Administrative Agent;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the Company shall (a) prior to the issuance of any such Indebtedness, provide notice to the Administrative Agent of the proposed issuance thereof and of the use of the proceeds thereof and (b) as soon as available, provide to the Administrative Agent copies of the Debt Instruments governing such Indebtedness.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with respect to any Person:</w:t>
      </w:r>
    </w:p>
    <w:p>
      <w:pPr>
        <w:spacing w:after="0" w:line="220" w:lineRule="exact"/>
        <w:rPr>
          <w:sz w:val="20"/>
          <w:szCs w:val="20"/>
          <w:color w:val="auto"/>
        </w:rPr>
      </w:pPr>
    </w:p>
    <w:p>
      <w:pPr>
        <w:jc w:val="both"/>
        <w:ind w:left="660" w:firstLine="644"/>
        <w:spacing w:after="0" w:line="249" w:lineRule="auto"/>
        <w:tabs>
          <w:tab w:leader="none" w:pos="181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pledges or deposits by such Person under workers’ compensation laws, unemployment insurance laws or other social security legislation, and deposits securing liability to insurance carriers under related insurance or self-insurance arrangements, (b) Liens incurred in the ordinary course of business securing insurance premiums or reimbursement obligations under insurance policies related to the items specified in the foregoing clause (a), or</w:t>
      </w:r>
    </w:p>
    <w:p>
      <w:pPr>
        <w:spacing w:after="0" w:line="2" w:lineRule="exact"/>
        <w:rPr>
          <w:rFonts w:ascii="Times New Roman" w:cs="Times New Roman" w:eastAsia="Times New Roman" w:hAnsi="Times New Roman"/>
          <w:sz w:val="22"/>
          <w:szCs w:val="22"/>
          <w:color w:val="auto"/>
        </w:rPr>
      </w:pPr>
    </w:p>
    <w:p>
      <w:pPr>
        <w:ind w:left="660" w:hanging="4"/>
        <w:spacing w:after="0" w:line="259" w:lineRule="auto"/>
        <w:tabs>
          <w:tab w:leader="none" w:pos="98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letters of credit or bank guarantees that have been posted by such Person to support the payment of the items set forth in clauses (a) and (b) of this clause (i);</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5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deposits to secure the performance of bids, tenders, contracts (other than for borrowed money) or Leases to which such Person is a party, (b) deposits to secure public or statutory obligations of such Person, surety and appeal bonds, performance bonds and other obligations of a like nature, (c) deposits as security for contested taxes or import duties or for the payment of rent, and (d) obligations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69" w:name="page70"/>
    <w:bookmarkEnd w:id="69"/>
    <w:p>
      <w:pPr>
        <w:ind w:left="660"/>
        <w:spacing w:after="0" w:line="271" w:lineRule="auto"/>
        <w:rPr>
          <w:sz w:val="20"/>
          <w:szCs w:val="20"/>
          <w:color w:val="auto"/>
        </w:rPr>
      </w:pPr>
      <w:r>
        <w:rPr>
          <w:rFonts w:ascii="Times New Roman" w:cs="Times New Roman" w:eastAsia="Times New Roman" w:hAnsi="Times New Roman"/>
          <w:sz w:val="22"/>
          <w:szCs w:val="22"/>
          <w:color w:val="auto"/>
        </w:rPr>
        <w:t>of letters of credit or bank guarantees that have been posted by such Person to support the payment of items set forth in clauses (a) and (b) of this clause (ii);</w:t>
      </w:r>
    </w:p>
    <w:p>
      <w:pPr>
        <w:spacing w:after="0" w:line="158" w:lineRule="exact"/>
        <w:rPr>
          <w:sz w:val="20"/>
          <w:szCs w:val="20"/>
          <w:color w:val="auto"/>
        </w:rPr>
      </w:pPr>
    </w:p>
    <w:p>
      <w:pPr>
        <w:jc w:val="both"/>
        <w:ind w:left="660" w:firstLine="644"/>
        <w:spacing w:after="0" w:line="257" w:lineRule="auto"/>
        <w:tabs>
          <w:tab w:leader="none" w:pos="209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cash or securities made by such Person as a condition to obtaining or maintaining any licenses issued to it by, or to satisfy other similar requirements of, any applicable Governmental Authority;</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3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imposed by law, such as (a) carriers’, warehousemen’s and mechanics’ materialmen’s, landlords’, or repairmen’s Liens, or (b) other like Liens arising in the ordinary course of business securing obligations which are not overdue by more than 30 days or which if more than 30 days overdue, (1) the period of grace, if any, related thereto has not expired or which are being contested in good faith by appropriate proceedings;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reserve or other appropriate provision shall have been made therefor as appropriate in accordance with GAAP, or (2) the aggregate principal outstanding amount of the obligations secured thereby does not exceed $5,000,000;</w:t>
      </w:r>
    </w:p>
    <w:p>
      <w:pPr>
        <w:spacing w:after="0" w:line="181"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judgments or awards not constituting an Event of Default;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9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survey exceptions, encumbrances, easements or reservations of, or rights of others for rights of way, sewers, electric lines, telegraph and telephone lines and other similar purposes, or other restrictions or encumbrances as to the use of real properties or Liens incidental to the conduct of the business of such Person or to the ownership of its properties which do not in the aggregate materially impair their use in the ordinary operation of the business of such Person;</w:t>
      </w:r>
    </w:p>
    <w:p>
      <w:pPr>
        <w:spacing w:after="0" w:line="176"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building or similar laws or rights reserved to or vested in any Governmental Authority;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03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in the ordinary course of business and customary in the relevant industry with respect to the creation or licensing of content, and the components thereof, securing the obligations of any of the Company and its Restricted Subsidiaries that do not constitute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shall attach solely to the content, or applicable component thereof, and the proceeds or products thereof, that is the subject to the arrangements giving rise to the underlying obligation;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2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(a) taxes (other than property taxes), assessments, charges or other governmental levies not overdue by more than 30 days or which if more than 30 days overdue, (1) the period of grace, if any, related thereto has not expired or which are being contested in good faith by appropriate proceedings;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reserve or other appropriate provision shall have been made therefor as appropriate in accordance with GAAP and (2) the aggregate principal outstanding amount of the obligations secured thereby does not exceed $10,000,000, and (b) property taxes not yet due and payable or which are being contested in good faith and by appropriate proceedings (and as to which all foreclosures and other enforcement proceedings shall have been fully bonded or otherwise effectively stayed);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0" w:name="page71"/>
    <w:bookmarkEnd w:id="70"/>
    <w:p>
      <w:pPr>
        <w:jc w:val="both"/>
        <w:ind w:left="660" w:firstLine="644"/>
        <w:spacing w:after="0" w:line="252" w:lineRule="auto"/>
        <w:tabs>
          <w:tab w:leader="none" w:pos="197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the ordinary course of business by virtue of any contractual, statutory or common law provision relating to banker’s Liens, rights of set-off or similar rights and remedies covering deposit or securities accounts (including funds or other assets credited thereto and pooling and netting arrangements) or other funds maintained with a depository institution or securities intermediary;</w:t>
      </w:r>
    </w:p>
    <w:p>
      <w:pPr>
        <w:spacing w:after="0" w:line="17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transfers of securities imposed by applicable securities laws;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interest or title of a lessor, licensor or sublessor under any Lease, license or sublease entered into by such Person in the ordinary course of its business and covering only the assets so leased, licensed or subleased and (b) the rights reserved or vested in any other Person by the terms of any Lease, license, franchise, grant or permit held by such Person or by a statutory provision to terminate any such Lease, license, franchise, grant or permit or to require periodic payments as a condition to the continuance thereof;</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of insurance or condemnation proceeds provided to landlords (or their mortgagees) pursuant to the terms of any Lease and Liens or rights reserved in any Lease for rent or for compliance with the terms of such Lease;</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201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financing statement filings (or similar filings under applicable law) regarding Leases entered into by such Person in the ordinary course of business;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out of conditional sale, title retention, consignment, factoring or similar arrangements for sale of receivables or goods entered into by such Person not prohibited by this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outstanding amount of the obligations secured by Liens arising out of factoring or similar arrangements for the sale of receivables does not exceed $200,000,000 at any time;</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20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28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Liens on assets of the type specified in the definition of “Receivables Financing” incurred in connection with a Qualified Receivables Financing, and (b) Liens securing obligations under or in respect of any Qualified Receivables Financing; and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212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Liens so long as the aggregate principal outstanding amount of the obligations secured thereby does not exceed $75,000,000 at any time.</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For the avoidance of doubt (and to supplement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Liens on property and assets of the Company and the Restricted Subsidiaries in a country outside the United States of America analogous in such country to the foregoing Permitted Liens described in clauses (i) through (xviii) of this definition shall also be Permitted Liens, subject to the foreign equivalent of the applicable Dollar limitation specified in the relevant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1" w:name="page72"/>
    <w:bookmarkEnd w:id="71"/>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Refinancing Indebtedness</w:t>
      </w:r>
      <w:r>
        <w:rPr>
          <w:rFonts w:ascii="Times New Roman" w:cs="Times New Roman" w:eastAsia="Times New Roman" w:hAnsi="Times New Roman"/>
          <w:sz w:val="21"/>
          <w:szCs w:val="21"/>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21"/>
          <w:szCs w:val="21"/>
          <w:u w:val="single" w:color="auto"/>
          <w:color w:val="auto"/>
        </w:rPr>
        <w:t>Refinance</w:t>
      </w:r>
      <w:r>
        <w:rPr>
          <w:rFonts w:ascii="Times New Roman" w:cs="Times New Roman" w:eastAsia="Times New Roman" w:hAnsi="Times New Roman"/>
          <w:sz w:val="21"/>
          <w:szCs w:val="21"/>
          <w:color w:val="auto"/>
        </w:rPr>
        <w:t xml:space="preserve">”), the Indebtedness being Refinanced (or previous refinancings thereof constituting Permitted Refinancing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weighted average life to maturity of such Permitted Refinancing Indebtedness is greater than or equal to the weighted average life to maturity of the Indebtedness being Refinanced,</w:t>
      </w:r>
    </w:p>
    <w:p>
      <w:pPr>
        <w:spacing w:after="0" w:line="2" w:lineRule="exact"/>
        <w:rPr>
          <w:sz w:val="20"/>
          <w:szCs w:val="20"/>
          <w:color w:val="auto"/>
        </w:rPr>
      </w:pPr>
    </w:p>
    <w:p>
      <w:pPr>
        <w:jc w:val="both"/>
        <w:ind w:firstLine="8"/>
        <w:spacing w:after="0" w:line="259"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final maturity of such Permitted Refinancing Indebtedness shall be no earlier than the date that is 91 days after the Maturity Date of the Extended Term A Facility, (d) if the Indebtedness being Refinanced is subordinated in right of payment to the Obligations under this Credit Agreement, such Permitted Refinancing Indebtedness shall be subordinated in right of payment to such Obligations on terms at least as favorable to the Lenders as those contained in the documentation governing the Indebtedness being Refinanced, (e) no Permitted Refinancing Indebtedness shall have different obligors than the Indebtedness being Refinanced and (f) if the Indebtedness being Refinanced is secured by any collateral (whether equally and ratably with, or junior to, the Secured Parties or otherwise), such Permitted Refinancing Indebtedness may be secured by such collateral on terms no less favorable to the Secured Parties than those contained in the documentation governing the Indebtedness being Refinanced.</w:t>
      </w:r>
    </w:p>
    <w:p>
      <w:pPr>
        <w:spacing w:after="0" w:line="173"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Warrant Transactions</w:t>
      </w:r>
      <w:r>
        <w:rPr>
          <w:rFonts w:ascii="Times New Roman" w:cs="Times New Roman" w:eastAsia="Times New Roman" w:hAnsi="Times New Roman"/>
          <w:sz w:val="22"/>
          <w:szCs w:val="22"/>
          <w:color w:val="auto"/>
        </w:rPr>
        <w:t>” means any customary (as conclusively determined by the Borrower in good faith) call option, warrant, or right to purchase (or economically equivalent swap or other derivative transaction) relating to the common stock or preferred stock (other than Disqualified Equity Interests) in the Company (or other securities and/or property of the Company, following a merger event with respect to, or reclassification or other change to the common stock or preferred stock (other than Disqualified Equity Interests) in, the Company) sold or issued by the Company substantially concurrently with any purchase by the Company of related Permitted Bond Hedge Transactions, and the performance by the Company of its obligations thereunder.</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at any time, an employee pension benefit plan which is covered by Title IV of ERISA or subject to the minimum funding standards under Section 412 of the Code and is either (i) maintained by the Company or an ERISA Affiliate or (ii) a Multiemployer Plan to which the Company or an ERISA Affiliate is then making or accruing an obligation to make contributions or has within the preceding six plan years made contributions.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means 29 CFR § 2510.3-101 et seq., as modified by Section 3(42) of ERISA, as amended from time to time.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means that certain Second Amended and Restated Pledge Agreement, dated as of July 28, 2017, as amended, supplemented, modified or waived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to time in accordance with the terms thereof, among certain Loan Parties and the Collateral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Debt</w:t>
      </w:r>
      <w:r>
        <w:rPr>
          <w:rFonts w:ascii="Times New Roman" w:cs="Times New Roman" w:eastAsia="Times New Roman" w:hAnsi="Times New Roman"/>
          <w:sz w:val="22"/>
          <w:szCs w:val="22"/>
          <w:color w:val="auto"/>
        </w:rPr>
        <w:t>” has the meaning given to such term in the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Equity Interests</w:t>
      </w:r>
      <w:r>
        <w:rPr>
          <w:rFonts w:ascii="Times New Roman" w:cs="Times New Roman" w:eastAsia="Times New Roman" w:hAnsi="Times New Roman"/>
          <w:sz w:val="22"/>
          <w:szCs w:val="22"/>
          <w:color w:val="auto"/>
        </w:rPr>
        <w:t>” has the meaning given to such term in the Pledge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has the meaning given to such term in the Pledge Agreement.</w:t>
      </w:r>
    </w:p>
    <w:p>
      <w:pPr>
        <w:spacing w:after="0" w:line="21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of interest last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the “Prime Rate” in the United States or, if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Acquisition Guarantees</w:t>
      </w:r>
      <w:r>
        <w:rPr>
          <w:rFonts w:ascii="Times New Roman" w:cs="Times New Roman" w:eastAsia="Times New Roman" w:hAnsi="Times New Roman"/>
          <w:sz w:val="22"/>
          <w:szCs w:val="22"/>
          <w:color w:val="auto"/>
        </w:rPr>
        <w:t>” means any commitment of the Borrower or any Restricted Subsidiary to a producer or owner (including, for the avoidance of doubt, any Restricted Subsidiary, Unrestricted Subsidiary or third party) of content in conjunction with the acquisition of content, distribution rights or sales agency rights in content by the Borrower or such Restricted Subsidiary to the effect that (1) the gross revenues to be generated in the future from the exploitation of such content or the net revenues to be received by such producer or owner from the exploitation of such content are reasonably anticipated by the Borrower to equal or exceed an amount specified in the acquisition agreement related to such content or (2) otherwise requires payment by the Borrower or such Restricted Subsidiary of a minimum amount specified in the acquisition agreement related to such content regardless of actual performance of such content.</w:t>
      </w:r>
    </w:p>
    <w:p>
      <w:pPr>
        <w:spacing w:after="0" w:line="18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Transaction</w:t>
      </w:r>
      <w:r>
        <w:rPr>
          <w:rFonts w:ascii="Times New Roman" w:cs="Times New Roman" w:eastAsia="Times New Roman" w:hAnsi="Times New Roman"/>
          <w:sz w:val="22"/>
          <w:szCs w:val="22"/>
          <w:color w:val="auto"/>
        </w:rPr>
        <w:t>” means a transaction that is prohibited under Section 4975 of the Code or Section 406 of ERISA and not exempt under Section 4975 of the Code or Section 408 of ERISA.</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motion picture, live event, film, music or video tape or other audio-visual work or episode thereof produced for theatrical, non-theatrical or television release or for exploitation in any other medium (including, without limitation, interactive media, multi-channel and digital platforms, stage plays, museum tours, theme parks or other location-based entertainment), in each case whether recorded on film, videotape, cassette, cartridge, disc or on or by any other means, method, process or device whether now known or hereafter devised, with respect to which the Borrower or any of its Restricted Subsidiaries (1) is the copyright owner or (2) acquires an equity interest or distribution or sales agency rights.</w:t>
      </w:r>
    </w:p>
    <w:p>
      <w:pPr>
        <w:spacing w:after="0" w:line="19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3" w:name="page74"/>
    <w:bookmarkEnd w:id="7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Cash</w:t>
      </w:r>
      <w:r>
        <w:rPr>
          <w:rFonts w:ascii="Times New Roman" w:cs="Times New Roman" w:eastAsia="Times New Roman" w:hAnsi="Times New Roman"/>
          <w:sz w:val="22"/>
          <w:szCs w:val="22"/>
          <w:color w:val="auto"/>
        </w:rPr>
        <w:t>” means, of any Person, all cash and Cash Equivalents of such Person in deposit or securities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accounts.</w:t>
      </w:r>
    </w:p>
    <w:p>
      <w:pPr>
        <w:spacing w:after="0" w:line="20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means, in respect of any Swap Obligation, each Loan Party that has total assets exceeding $10,000,000 at the time the relevant Guaranty or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Receivables Financing</w:t>
      </w:r>
      <w:r>
        <w:rPr>
          <w:rFonts w:ascii="Times New Roman" w:cs="Times New Roman" w:eastAsia="Times New Roman" w:hAnsi="Times New Roman"/>
          <w:sz w:val="22"/>
          <w:szCs w:val="22"/>
          <w:color w:val="auto"/>
        </w:rPr>
        <w:t>” means any Receivables Financing that meets the following conditions:</w:t>
      </w:r>
    </w:p>
    <w:p>
      <w:pPr>
        <w:spacing w:after="0" w:line="220" w:lineRule="exact"/>
        <w:rPr>
          <w:sz w:val="20"/>
          <w:szCs w:val="20"/>
          <w:color w:val="auto"/>
        </w:rPr>
      </w:pPr>
    </w:p>
    <w:p>
      <w:pPr>
        <w:jc w:val="both"/>
        <w:ind w:left="660" w:firstLine="644"/>
        <w:spacing w:after="0" w:line="257" w:lineRule="auto"/>
        <w:tabs>
          <w:tab w:leader="none" w:pos="17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determined in good faith that such Receivables Financing (including financing terms, covenants, termination events and other provisions) is in the aggregate economically fair and reasonable to the Borrower or the applicable Subsidiary, as the case may be;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7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sales of Receivables Financing Assets and related assets by the Borrower or the applicable Subsidiary (other than a Receivables Subsidiary) either to the applicable Receivables Subsidiary or directly to the applicable third-party financing providers (as the case may be) are made at fair market value (as determined in good faith by the Borrower); and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2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terms, covenants, termination events and other provisions thereof shall be market terms (as determined in good faith by the Borrower) and may include Standard Undertakings;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Receivables Net Investment outstanding under any Qualified Receivables Financing shall not exceed, at the time of any incurrence thereunder, $250.0 million;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amount shall be $125.0 million at any time when Revolving Credit Commitments or Term A Loans are then outstanding.</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w:t>
      </w:r>
      <w:r>
        <w:rPr>
          <w:rFonts w:ascii="Times New Roman" w:cs="Times New Roman" w:eastAsia="Times New Roman" w:hAnsi="Times New Roman"/>
          <w:sz w:val="22"/>
          <w:szCs w:val="22"/>
          <w:color w:val="auto"/>
        </w:rPr>
        <w:t>” means a fiscal quarterly period of the Company.</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Financing</w:t>
      </w:r>
      <w:r>
        <w:rPr>
          <w:rFonts w:ascii="Times New Roman" w:cs="Times New Roman" w:eastAsia="Times New Roman" w:hAnsi="Times New Roman"/>
          <w:sz w:val="22"/>
          <w:szCs w:val="22"/>
          <w:color w:val="auto"/>
        </w:rPr>
        <w:t>” means any transaction or series of transactions that may be entered into by the Borrower or any of its Subsidiaries pursuant to which the Borrower or any of its Subsidiaries may sell, assign, convey or otherwise transfer to any other Person, or may grant a security interest in, any Receivables Financing Assets (whether now existing or arising in the future) of the Borrower or any of its Subsidiaries, and any assets related thereto including, without limitation, all collateral securing such Receivables Financing Assets, all contracts and all guarantees or other obligations in respect of such Receivables Financing Assets,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22"/>
          <w:szCs w:val="22"/>
          <w:color w:val="auto"/>
        </w:rPr>
        <w:t>such Receivables Financing Assets and other assets which are customarily sold, assigned, conveyed, or transferred or in respect of which security interests are customarily granted in connection with asset securitization transactions or factoring transactions involving Receivables Financing Assets and any hedging agreements entered into by the Borrower or any such Subsidiary in connection with such Receivables Financing Assets.</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Financing Assets</w:t>
      </w:r>
      <w:r>
        <w:rPr>
          <w:rFonts w:ascii="Times New Roman" w:cs="Times New Roman" w:eastAsia="Times New Roman" w:hAnsi="Times New Roman"/>
          <w:sz w:val="21"/>
          <w:szCs w:val="21"/>
          <w:color w:val="auto"/>
        </w:rPr>
        <w:t>” means any of the following assets (or interests therein) from time to time originated, acquired or otherwise owned by the Borrower or any Restricted Subsidiary or in which the Borrower or any Restricted Subsidiary has any rights or interests, in each case, without regard to where such assets or interest are located: (1) receivables, payment obligations, installment contracts, and similar rights, whether currently existing or arising or estimated to arise in the future, and whether in the form of accounts, chattel paper, general intangibles, instruments or otherwise (including any drafts, bills of exchange or similar notes and instruments), (2) royalty and other similar payments made related to the use of trade names and other intellectual property, business support, training and other services, including without limitation licensing fees, lease payments and similar revenue streams relating to Product, (3) revenues related to distribution and merchandising of the products of the Borrower and its Restricted Subsidiaries, (4) intellectual property rights relating to the generation of any of the foregoing types of assets, and (5) any other assets and property to the extent customarily included in securitization transactions or factoring transactions of the relevant type in the applicable jurisdictions (as determined by the Borrower in good faith).</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Financing Fees</w:t>
      </w:r>
      <w:r>
        <w:rPr>
          <w:rFonts w:ascii="Times New Roman" w:cs="Times New Roman" w:eastAsia="Times New Roman" w:hAnsi="Times New Roman"/>
          <w:sz w:val="22"/>
          <w:szCs w:val="22"/>
          <w:color w:val="auto"/>
        </w:rPr>
        <w:t>” means distributions or payments made directly or by means of discounts with respect to any participation interests issued or sold in connection with, and all other fees paid to a Person that is not a Restricted Subsidiary in connection with, any Receivables Financing.</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Financing Repurchase Obligation</w:t>
      </w:r>
      <w:r>
        <w:rPr>
          <w:rFonts w:ascii="Times New Roman" w:cs="Times New Roman" w:eastAsia="Times New Roman" w:hAnsi="Times New Roman"/>
          <w:sz w:val="22"/>
          <w:szCs w:val="22"/>
          <w:color w:val="auto"/>
        </w:rPr>
        <w:t>” means any obligation of a seller of Receivables Financing Assets in a Qualified Receivables Financing to repurchase Receivables Financing Assets arising as a result of a breach of a representation, warranty or covenant or otherwise, including as a result of a Receivables Financing Asset or portion thereof becoming subject to any asserted defense, dispute, dilution, off-set or counterclaim of any kind as a result of any action taken by, any failure to take action by or any other event relating to the seller.</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Net Investment</w:t>
      </w:r>
      <w:r>
        <w:rPr>
          <w:rFonts w:ascii="Times New Roman" w:cs="Times New Roman" w:eastAsia="Times New Roman" w:hAnsi="Times New Roman"/>
          <w:sz w:val="22"/>
          <w:szCs w:val="22"/>
          <w:color w:val="auto"/>
        </w:rPr>
        <w:t xml:space="preserve">” means the aggregate cash amount paid by the lenders or purchasers under any Receivables Financing in connection with their purchase of, or the making of loans secured by, Receivables Financing Assets or interests therein, as the same may be reduced from time to time by collections with respect to such Receivables Financing Assets or otherwise in accordance with the terms of the documents and agreements evidencing, relating to or otherwise governing the Receivables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Subsidiary</w:t>
      </w:r>
      <w:r>
        <w:rPr>
          <w:rFonts w:ascii="Times New Roman" w:cs="Times New Roman" w:eastAsia="Times New Roman" w:hAnsi="Times New Roman"/>
          <w:sz w:val="22"/>
          <w:szCs w:val="22"/>
          <w:color w:val="auto"/>
        </w:rPr>
        <w:t>” means a Subsidiary that is a wholly-owned Subsidiary (or another Person formed for the purposes of engaging in Qualified Receivables Financing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22"/>
          <w:szCs w:val="22"/>
          <w:color w:val="auto"/>
        </w:rPr>
        <w:t>the Borrower or any of its Subsidiaries in which the Borrower or any of its Subsidiaries makes an Investment and to which the Borrower or any of its Subsidiaries transfers Receivables Financing Assets and related assets) which engages in no activities other than in connection with the financing of Receivables Financing Assets of the Borrower and its Subsidiaries, all proceeds thereof and all rights (contractual or other), collateral and other assets relating thereto, and any business or activities incidental or related to such business and</w:t>
      </w:r>
    </w:p>
    <w:p>
      <w:pPr>
        <w:spacing w:after="0" w:line="194" w:lineRule="exact"/>
        <w:rPr>
          <w:sz w:val="20"/>
          <w:szCs w:val="20"/>
          <w:color w:val="auto"/>
        </w:rPr>
      </w:pPr>
    </w:p>
    <w:p>
      <w:pPr>
        <w:jc w:val="both"/>
        <w:ind w:left="660" w:firstLine="644"/>
        <w:spacing w:after="0" w:line="251" w:lineRule="auto"/>
        <w:tabs>
          <w:tab w:leader="none" w:pos="1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 (A) is guaranteed by the Borrower or any other Restricted Subsidiary (excluding guarantees of obligations (other than the principal of and interest on, Indebtedness) pursuant to Standard Undertakings), (B) is recourse to or obligates the Borrower or any other Restricted Subsidiary in any way other than pursuant to Standard Undertakings, or (C) subjects any property or asset of the Borrower or any other Restricted Subsidiary, directly or indirectly, contingently or otherwise, to the satisfaction thereof, other than pursuant to Standard Undertakings;</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neither the Borrower nor any Restricted Subsidiary has any material contract, agreement, arrangement or understanding other than on terms which the Borrower reasonably believes to be no less favorable to the Borrower or such Restricted Subsidiary than those that might be obtained at the time from Persons that are not Affiliates of the Borrower (other than pursuant to Standard Undertakings); and</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8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neither the Borrower nor any Restricted Subsidiary has any obligation to maintain or preserve such entity’s financial condition or cause such entity to achieve certain levels of operating results (other than pursuant to Standard Undertakings).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Reduction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2.04(b)(vi)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Term SOFR, 6:00 a.m. (New York City time) on the day that is two U.S. Government Securities Business Days preceding the date of such setting or (2) otherwise, the time determined by the Administrative Agent in its reasonable discretion.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Public Accounting Firm</w:t>
      </w:r>
      <w:r>
        <w:rPr>
          <w:rFonts w:ascii="Times New Roman" w:cs="Times New Roman" w:eastAsia="Times New Roman" w:hAnsi="Times New Roman"/>
          <w:sz w:val="22"/>
          <w:szCs w:val="22"/>
          <w:color w:val="auto"/>
        </w:rPr>
        <w:t>” has the meaning given to such term by the Securities Laws and shall be independent of the Company as prescribed by the Securities Laws.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Board of Governors of the Federal Reserve System as the same may be amended or supplemented from time to time.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and advisors of such Person and of such Person’s Affiliates.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NYFRB, or a committee officially endorsed or convened by the Federal Reserve Board or the NYFRB,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6" w:name="page77"/>
    <w:bookmarkEnd w:id="76"/>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(i) any of the events set forth in Section 4043(c) (other than a Reportable Event as to which the provision of 30 days’ notice to the PBGC is waived under applicable regulations), 4062(e) or 4063(a) of ERISA or the regulations thereunder, (ii) a determination that any Plan is an “at risk” status within the meaning of Section 303 of ERISA and the failure to make the required funding to the Plan as provided by Section 303(i) of ERISA and (iii) any failure to make payments required by Section 430(j) of the Code if such failure continues for 30 days following the due date for any required installment.</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Term Loans or Revolving Credit Loans, a Committed Loan Notice, and (b) with respect to an L/C Credit Extension, a Letter of Credit Application.</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Incremental Term Lenders</w:t>
      </w:r>
      <w:r>
        <w:rPr>
          <w:rFonts w:ascii="Times New Roman" w:cs="Times New Roman" w:eastAsia="Times New Roman" w:hAnsi="Times New Roman"/>
          <w:sz w:val="22"/>
          <w:szCs w:val="22"/>
          <w:color w:val="auto"/>
        </w:rPr>
        <w:t xml:space="preserve">” means, as of any date of determination and as to any Incremental Term Facility, Incremental Term Lenders holding more than 50% of such Incremental Term Facility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such Incremental Term Facility held by any Defaulting Lender shall be excluded for purposes of making a determination of Required Incremental Term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as of any date of determination, Lenders holding more than 50% of the sum of the</w:t>
      </w:r>
    </w:p>
    <w:p>
      <w:pPr>
        <w:spacing w:after="0" w:line="28" w:lineRule="exact"/>
        <w:rPr>
          <w:sz w:val="20"/>
          <w:szCs w:val="20"/>
          <w:color w:val="auto"/>
        </w:rPr>
      </w:pPr>
    </w:p>
    <w:p>
      <w:pPr>
        <w:jc w:val="both"/>
        <w:ind w:firstLine="8"/>
        <w:spacing w:after="0" w:line="262" w:lineRule="auto"/>
        <w:tabs>
          <w:tab w:leader="none" w:pos="29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Total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unused Revolving Credit Commitment of, and the portion of the Total Outstandings held or deemed held by, any Defaulting Lender, and (ii) the Loans held by the Company or any of its Affiliates or Subsidiaries, shall in each case be excluded for purposes of making a determination of Required Lenders.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Prepayment Date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2.04(b)(vii)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Revolving Lenders</w:t>
      </w:r>
      <w:r>
        <w:rPr>
          <w:rFonts w:ascii="Times New Roman" w:cs="Times New Roman" w:eastAsia="Times New Roman" w:hAnsi="Times New Roman"/>
          <w:sz w:val="22"/>
          <w:szCs w:val="22"/>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9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Revolving/Term A Lenders</w:t>
      </w:r>
      <w:r>
        <w:rPr>
          <w:rFonts w:ascii="Times New Roman" w:cs="Times New Roman" w:eastAsia="Times New Roman" w:hAnsi="Times New Roman"/>
          <w:sz w:val="21"/>
          <w:szCs w:val="21"/>
          <w:color w:val="auto"/>
        </w:rPr>
        <w:t xml:space="preserve">” means, as of any date of determination, Lenders (other than Incremental Term Lenders, if any) holding more than 50% of the sum of the (a) the Total Outstandings (with the aggregate amount of each Revolving Credit Lender’s risk participation and funded participation in L/C Obligations being deemed “held” by such Revolving Credit Lender for purposes of this definition)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Outstanding Amount of the Incremental Term Loans, if any, and</w:t>
      </w:r>
    </w:p>
    <w:p>
      <w:pPr>
        <w:spacing w:after="0" w:line="4" w:lineRule="exact"/>
        <w:rPr>
          <w:sz w:val="20"/>
          <w:szCs w:val="20"/>
          <w:color w:val="auto"/>
        </w:rPr>
      </w:pPr>
    </w:p>
    <w:p>
      <w:pPr>
        <w:ind w:firstLine="8"/>
        <w:spacing w:after="0" w:line="248" w:lineRule="auto"/>
        <w:tabs>
          <w:tab w:leader="none" w:pos="3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aggregate unused Revolving Credit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the unused Revolving Credit Commitment of, and the portion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7" w:name="page78"/>
    <w:bookmarkEnd w:id="77"/>
    <w:p>
      <w:pPr>
        <w:jc w:val="both"/>
        <w:spacing w:after="0" w:line="257" w:lineRule="auto"/>
        <w:rPr>
          <w:sz w:val="20"/>
          <w:szCs w:val="20"/>
          <w:color w:val="auto"/>
        </w:rPr>
      </w:pPr>
      <w:r>
        <w:rPr>
          <w:rFonts w:ascii="Times New Roman" w:cs="Times New Roman" w:eastAsia="Times New Roman" w:hAnsi="Times New Roman"/>
          <w:sz w:val="22"/>
          <w:szCs w:val="22"/>
          <w:color w:val="auto"/>
        </w:rPr>
        <w:t>Outstandings held or deemed held by, any Defaulting Lender, if any), and (ii) the Loans held by the Company or any of its Affiliates or Subsidiaries, shall in each case be excluded for purposes of making a determination of Required Revolving/Term A Lenders.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Term A Lenders</w:t>
      </w:r>
      <w:r>
        <w:rPr>
          <w:rFonts w:ascii="Times New Roman" w:cs="Times New Roman" w:eastAsia="Times New Roman" w:hAnsi="Times New Roman"/>
          <w:sz w:val="22"/>
          <w:szCs w:val="22"/>
          <w:color w:val="auto"/>
        </w:rPr>
        <w:t xml:space="preserve">” means, as of any date of determination, Term A Lenders holding more than 50% of the Term A Facility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portion of the Term A Facility held by any Defaulting Lender, and (ii) the Loans held by the Company or any of its Affiliates or Subsidiaries, shall in each case be excluded for purposes of making a determination of Required Term A Lenders.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senior vice president-finance, chief accounting officer, controller, treasurer or assistant treasurer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Group Reporting Period (Cash Flow Statement)</w:t>
      </w:r>
      <w:r>
        <w:rPr>
          <w:rFonts w:ascii="Times New Roman" w:cs="Times New Roman" w:eastAsia="Times New Roman" w:hAnsi="Times New Roman"/>
          <w:sz w:val="22"/>
          <w:szCs w:val="22"/>
          <w:color w:val="auto"/>
        </w:rPr>
        <w:t xml:space="preserve">” means any Quarter or fiscal year of the Company if, as of the end of such period, the Unrestricted Subsidiary Adjusted Combined Revenues for the four Quarter period then ended exceed 20% of the amount equal to (i) the combined revenues of the Company and its consolidated Subsidiaries for the four Quarter period then ended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difference between (a) the combined revenues of the Unrestricted Subsidiaries for the four Quarter period then ended and (b) the Unrestricted Subsidiary Adjusted Combined Revenues for the four Quarter period then ended.</w:t>
      </w:r>
    </w:p>
    <w:p>
      <w:pPr>
        <w:spacing w:after="0" w:line="18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Group Reporting Period (Key Metrics)</w:t>
      </w:r>
      <w:r>
        <w:rPr>
          <w:rFonts w:ascii="Times New Roman" w:cs="Times New Roman" w:eastAsia="Times New Roman" w:hAnsi="Times New Roman"/>
          <w:sz w:val="21"/>
          <w:szCs w:val="21"/>
          <w:color w:val="auto"/>
        </w:rPr>
        <w:t xml:space="preserve">” means any Quarter or fiscal year of the Company if, as of the end of such period, the Unrestricted Subsidiary Adjusted Combined Revenues for the four Quarter period then ended exceed 15% of the amount equal to (i) the combined revenues of the Company and its consolidated Subsidiaries for the four Quarter period then ended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the difference between (a) the combined revenues of the Unrestricted Subsidiaries for the four Quarter period then ended and (b) the Unrestricted Subsidiary Adjusted Combined Revenues for the four Quarter period then ended.</w:t>
      </w:r>
    </w:p>
    <w:p>
      <w:pPr>
        <w:spacing w:after="0" w:line="16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Group Reporting Period (Statement of Operations and Balance Sheet)</w:t>
      </w:r>
      <w:r>
        <w:rPr>
          <w:rFonts w:ascii="Times New Roman" w:cs="Times New Roman" w:eastAsia="Times New Roman" w:hAnsi="Times New Roman"/>
          <w:sz w:val="22"/>
          <w:szCs w:val="22"/>
          <w:color w:val="auto"/>
        </w:rPr>
        <w:t>” means any Quarter or fiscal year of the Company if, as of the end of such period, either (i) the combined revenues of the Unrestricted Subsidiaries exceed 15% of the combined revenues of the Company and its consolidated Subsidiaries for the four Quarter period then ended, or</w:t>
      </w:r>
    </w:p>
    <w:p>
      <w:pPr>
        <w:spacing w:after="0" w:line="1" w:lineRule="exact"/>
        <w:rPr>
          <w:sz w:val="20"/>
          <w:szCs w:val="20"/>
          <w:color w:val="auto"/>
        </w:rPr>
      </w:pPr>
    </w:p>
    <w:p>
      <w:pPr>
        <w:jc w:val="both"/>
        <w:ind w:firstLine="8"/>
        <w:spacing w:after="0" w:line="245" w:lineRule="auto"/>
        <w:tabs>
          <w:tab w:leader="none" w:pos="32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assets of the Unrestricted Subsidiaries as recorded on the balance sheet of the Company and its consolidated Subsidiaries exceeds 15% of the aggregate amount of the assets of the Company and its consolidated Subsidiaries on such balance sheet.</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means (i) direct or indirect distributions, dividends or other payments by the Company or any Restricted Subsidiary on account of (including, without limitation, sinking fund or other payments on account of the redemption, retirement,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2"/>
          <w:szCs w:val="22"/>
          <w:color w:val="auto"/>
        </w:rPr>
        <w:t>acquisition of) any general or limited partnership or joint venture interest in, or any capital stock of, the Company or such Restricted Subsidiary, as the case may be (whether made in cash, property or other obligations), other than any such distributions, dividends and other payments made by (a) a Restricted Subsidiary to the Company or another Loan Party on account of any such Equity Interests of the former held by the latter and (b) a Restricted Subsidiary that is not a Loan Party to another Restricted Subsidiary that is not a Loan Party on account of any such Equity Interests of the former held by the latter, and (ii) any prepayment of principal or interest on account of any Permitted Debt or any Indebtedness of the Company issued under the Senior Notes Indenture (other than (a) so long as no Default or Event of Default shall have occurred and be continuing, any prepayment of interest on account of any Permitted Debt or the Senior Notes, (b) any prepayment of principal on any Indebtedness being Refinanced with Permitted Refinancing Indebtedness and (c) the repurchase, redemption or other discharge of the Company’s 4.75% Senior Notes due 2025.</w:t>
      </w:r>
    </w:p>
    <w:p>
      <w:pPr>
        <w:spacing w:after="0" w:line="204"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Subsidiaries</w:t>
      </w:r>
      <w:r>
        <w:rPr>
          <w:rFonts w:ascii="Times New Roman" w:cs="Times New Roman" w:eastAsia="Times New Roman" w:hAnsi="Times New Roman"/>
          <w:sz w:val="22"/>
          <w:szCs w:val="22"/>
          <w:color w:val="auto"/>
        </w:rPr>
        <w:t xml:space="preserve">” means the Persons set forth on </w:t>
      </w:r>
      <w:r>
        <w:rPr>
          <w:rFonts w:ascii="Times New Roman" w:cs="Times New Roman" w:eastAsia="Times New Roman" w:hAnsi="Times New Roman"/>
          <w:sz w:val="22"/>
          <w:szCs w:val="22"/>
          <w:u w:val="single" w:color="auto"/>
          <w:color w:val="auto"/>
        </w:rPr>
        <w:t>Schedule 1.01(i)</w:t>
      </w:r>
      <w:r>
        <w:rPr>
          <w:rFonts w:ascii="Times New Roman" w:cs="Times New Roman" w:eastAsia="Times New Roman" w:hAnsi="Times New Roman"/>
          <w:sz w:val="22"/>
          <w:szCs w:val="22"/>
          <w:color w:val="auto"/>
        </w:rPr>
        <w:t xml:space="preserve">, AMC, each Additional Borrower, and any New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Restricted Subsidiary redesignated as an Unrestricted Subsidiary pursuant to and in compliance with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shall cease to be a Restricted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Restricting Information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10.02(g)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Extension Request</w:t>
      </w:r>
      <w:r>
        <w:rPr>
          <w:rFonts w:ascii="Times New Roman" w:cs="Times New Roman" w:eastAsia="Times New Roman" w:hAnsi="Times New Roman"/>
          <w:sz w:val="22"/>
          <w:szCs w:val="22"/>
          <w:color w:val="auto"/>
        </w:rPr>
        <w:t>” has the meaning given to such term in Section 2.18(b).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Extension Series</w:t>
      </w:r>
      <w:r>
        <w:rPr>
          <w:rFonts w:ascii="Times New Roman" w:cs="Times New Roman" w:eastAsia="Times New Roman" w:hAnsi="Times New Roman"/>
          <w:sz w:val="22"/>
          <w:szCs w:val="22"/>
          <w:color w:val="auto"/>
        </w:rPr>
        <w:t>” has the meaning given to such term in Section 2.18(b).</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Borrowing</w:t>
      </w:r>
      <w:r>
        <w:rPr>
          <w:rFonts w:ascii="Times New Roman" w:cs="Times New Roman" w:eastAsia="Times New Roman" w:hAnsi="Times New Roman"/>
          <w:sz w:val="22"/>
          <w:szCs w:val="22"/>
          <w:color w:val="auto"/>
        </w:rPr>
        <w:t xml:space="preserve">” means a borrowing consisting of simultaneous Revolving Credit Loans </w:t>
      </w:r>
      <w:r>
        <w:rPr>
          <w:rFonts w:ascii="Times New Roman" w:cs="Times New Roman" w:eastAsia="Times New Roman" w:hAnsi="Times New Roman"/>
          <w:sz w:val="22"/>
          <w:szCs w:val="22"/>
          <w:u w:val="single" w:color="auto"/>
          <w:color w:val="0000FF"/>
        </w:rPr>
        <w:t>under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same Revolving Credit Facility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the same Type and, in the case of SOFR Loans, having the same Interest Period made by each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of the Revolving Credit Lenders pursuant to </w:t>
      </w:r>
      <w:r>
        <w:rPr>
          <w:rFonts w:ascii="Times New Roman" w:cs="Times New Roman" w:eastAsia="Times New Roman" w:hAnsi="Times New Roman"/>
          <w:sz w:val="22"/>
          <w:szCs w:val="22"/>
          <w:u w:val="single" w:color="auto"/>
          <w:color w:val="000000"/>
        </w:rPr>
        <w:t>Section 2.01(b)</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Commitment</w:t>
      </w:r>
      <w:r>
        <w:rPr>
          <w:rFonts w:ascii="Times New Roman" w:cs="Times New Roman" w:eastAsia="Times New Roman" w:hAnsi="Times New Roman"/>
          <w:sz w:val="22"/>
          <w:szCs w:val="22"/>
          <w:color w:val="auto"/>
        </w:rPr>
        <w:t xml:space="preserve">” means, as to each Revolving Credit Lender, its obligation to (a) make Revolving Credit Loans to the Borrower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and (b) purchase participations in L/C Obligations, in an aggregate principal amount at any one time outstanding not to exceed the amount set forth opposite such Lender’s name on Schedule 2.01 attached to Amendment No. 3 under the caption “Revolving Credit Commitment” or opposite such caption in the Assignment and Assumption pursuant to which such Lender becomes a party hereto, as applicable, as such amount may be adjusted from time to time in accordance with this Credit Agreement. </w:t>
      </w:r>
      <w:r>
        <w:rPr>
          <w:rFonts w:ascii="Times New Roman" w:cs="Times New Roman" w:eastAsia="Times New Roman" w:hAnsi="Times New Roman"/>
          <w:sz w:val="22"/>
          <w:szCs w:val="22"/>
          <w:color w:val="FF0000"/>
        </w:rPr>
        <w:t>On the Amendment No.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CC00"/>
          <w:strike w:val="1"/>
        </w:rPr>
        <w:t>Effective Date, after giving effect to the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CC00"/>
          <w:strike w:val="1"/>
        </w:rPr>
        <w:t xml:space="preserve">No. </w:t>
      </w:r>
      <w:r>
        <w:rPr>
          <w:rFonts w:ascii="Times New Roman" w:cs="Times New Roman" w:eastAsia="Times New Roman" w:hAnsi="Times New Roman"/>
          <w:sz w:val="22"/>
          <w:szCs w:val="22"/>
          <w:color w:val="FF0000"/>
          <w:strike w:val="1"/>
        </w:rPr>
        <w:t>3 Transactions, the aggregate Revolving Commitments shall be $175,000,000.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-253365</wp:posOffset>
            </wp:positionV>
            <wp:extent cx="1489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9710" cy="8890"/>
                    </a:xfrm>
                    <a:prstGeom prst="rect">
                      <a:avLst/>
                    </a:prstGeom>
                    <a:noFill/>
                  </pic:spPr>
                </pic:pic>
              </a:graphicData>
            </a:graphic>
          </wp:anchor>
        </w:drawing>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CC00"/>
          <w:strike w:val="1"/>
        </w:rPr>
        <w:t>the Amendment No. 3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after giving effect to the 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Revolving Facility Termination (as defined in Amendment No. 3), the New Revolving Facility (as defined in Amendment No. 3) and </w:t>
      </w:r>
      <w:r>
        <w:rPr>
          <w:rFonts w:ascii="Times New Roman" w:cs="Times New Roman" w:eastAsia="Times New Roman" w:hAnsi="Times New Roman"/>
          <w:sz w:val="22"/>
          <w:szCs w:val="22"/>
          <w:color w:val="00CC00"/>
          <w:strike w:val="1"/>
        </w:rPr>
        <w:t>at any time after the Amendment No.</w:t>
      </w:r>
      <w:r>
        <w:rPr>
          <w:rFonts w:ascii="Times New Roman" w:cs="Times New Roman" w:eastAsia="Times New Roman" w:hAnsi="Times New Roman"/>
          <w:sz w:val="22"/>
          <w:szCs w:val="22"/>
          <w:color w:val="FF0000"/>
          <w:strike w:val="1"/>
        </w:rPr>
        <w:t xml:space="preserve"> 3 Effective Date, the aggregate amount of the</w:t>
      </w:r>
      <w:r>
        <w:rPr>
          <w:rFonts w:ascii="Times New Roman" w:cs="Times New Roman" w:eastAsia="Times New Roman" w:hAnsi="Times New Roman"/>
          <w:sz w:val="22"/>
          <w:szCs w:val="22"/>
          <w:u w:val="single" w:color="auto"/>
          <w:color w:val="0000FF"/>
          <w:strike w:val="1"/>
        </w:rPr>
        <w:t>at any time, the Non-Extended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xml:space="preserve">Revolving Credit </w:t>
      </w:r>
      <w:r>
        <w:rPr>
          <w:rFonts w:ascii="Times New Roman" w:cs="Times New Roman" w:eastAsia="Times New Roman" w:hAnsi="Times New Roman"/>
          <w:sz w:val="22"/>
          <w:szCs w:val="22"/>
          <w:color w:val="FF0000"/>
          <w:strike w:val="1"/>
        </w:rPr>
        <w:t>Lenders’</w:t>
      </w:r>
      <w:r>
        <w:rPr>
          <w:rFonts w:ascii="Times New Roman" w:cs="Times New Roman" w:eastAsia="Times New Roman" w:hAnsi="Times New Roman"/>
          <w:sz w:val="22"/>
          <w:szCs w:val="22"/>
          <w:u w:val="single" w:color="auto"/>
          <w:color w:val="0000FF"/>
        </w:rPr>
        <w:t>Facility and the Extended</w:t>
      </w:r>
      <w:r>
        <w:rPr>
          <w:rFonts w:ascii="Times New Roman" w:cs="Times New Roman" w:eastAsia="Times New Roman" w:hAnsi="Times New Roman"/>
          <w:sz w:val="22"/>
          <w:szCs w:val="22"/>
          <w:color w:val="auto"/>
        </w:rPr>
        <w:t xml:space="preserve"> Revolving Credit </w:t>
      </w:r>
      <w:r>
        <w:rPr>
          <w:rFonts w:ascii="Times New Roman" w:cs="Times New Roman" w:eastAsia="Times New Roman" w:hAnsi="Times New Roman"/>
          <w:sz w:val="22"/>
          <w:szCs w:val="22"/>
          <w:color w:val="FF0000"/>
          <w:strike w:val="1"/>
        </w:rPr>
        <w:t>Commitments at such time</w:t>
      </w:r>
      <w:r>
        <w:rPr>
          <w:rFonts w:ascii="Times New Roman" w:cs="Times New Roman" w:eastAsia="Times New Roman" w:hAnsi="Times New Roman"/>
          <w:sz w:val="22"/>
          <w:szCs w:val="22"/>
          <w:u w:val="single" w:color="auto"/>
          <w:color w:val="0000FF"/>
        </w:rPr>
        <w:t>Facility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Lender</w:t>
      </w:r>
      <w:r>
        <w:rPr>
          <w:rFonts w:ascii="Times New Roman" w:cs="Times New Roman" w:eastAsia="Times New Roman" w:hAnsi="Times New Roman"/>
          <w:sz w:val="22"/>
          <w:szCs w:val="22"/>
          <w:color w:val="auto"/>
        </w:rPr>
        <w:t>” means, at any time, any Lender that has a Revolving Credit Commitment or Revolving Credit Loan at such time.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CC00"/>
          <w:strike w:val="1"/>
        </w:rPr>
        <w:t>has the meaning given to such term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Section 2.01(b)</w:t>
      </w:r>
      <w:r>
        <w:rPr>
          <w:rFonts w:ascii="Times New Roman" w:cs="Times New Roman" w:eastAsia="Times New Roman" w:hAnsi="Times New Roman"/>
          <w:sz w:val="22"/>
          <w:szCs w:val="22"/>
          <w:u w:val="single" w:color="auto"/>
          <w:color w:val="0000FF"/>
        </w:rPr>
        <w:t>means an Extended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Credit Loan or an Extended Revolving Credit Loan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a Swingline Loan shall not constitute a Revolving Credit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Loan.</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xml:space="preserve">” means a promissory note made by the Borrower in favor of a Revolving Credit Lender evidencing Revolving Credit Loans made by such Revolving Credit Lender, substantially in the form of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Revolving/Term A Event of Default</w:t>
      </w:r>
      <w:r>
        <w:rPr>
          <w:rFonts w:ascii="Times New Roman" w:cs="Times New Roman" w:eastAsia="Times New Roman" w:hAnsi="Times New Roman"/>
          <w:sz w:val="22"/>
          <w:szCs w:val="22"/>
          <w:color w:val="auto"/>
        </w:rPr>
        <w:t xml:space="preserve">” means any Event of Default contained in clause (c) of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but only with respect to </w:t>
      </w:r>
      <w:r>
        <w:rPr>
          <w:rFonts w:ascii="Times New Roman" w:cs="Times New Roman" w:eastAsia="Times New Roman" w:hAnsi="Times New Roman"/>
          <w:sz w:val="22"/>
          <w:szCs w:val="22"/>
          <w:u w:val="single" w:color="auto"/>
          <w:color w:val="auto"/>
        </w:rPr>
        <w:t>Sections 7.26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7.27</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business unit of Standard &amp; Poor’s Financial Services LLC, a subsidiary of S&amp;P Global Inc., and any successor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the target of any Sanctions.</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 member state, His Majesty’s Treasury of the United Kingdom or any other relevant sanctions authority, (b) any Person operating, organized or resident in a Sanctioned Country or (c) any Person directly or indirectly owned 50% or more by, controlled by, or acting for the benefit or on behalf of, any such Person or Persons described in the foregoing clauses (a) or (b).</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the Office of Foreign Assets Control of the U.S. Department of the Treasury or the U.S. Department of State or the United Nations Security Council, the European Union, any EU member state, His Majesty’s Treasury of the United Kingdom or any other relevant sanctions authority.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“Scheduled Maturity Date” means (a) with respect to the Extended Revolving Credit Facility, October 29, 2030,</w:t>
      </w:r>
    </w:p>
    <w:p>
      <w:pPr>
        <w:spacing w:after="0" w:line="28" w:lineRule="exact"/>
        <w:rPr>
          <w:sz w:val="20"/>
          <w:szCs w:val="20"/>
          <w:color w:val="auto"/>
        </w:rPr>
      </w:pPr>
    </w:p>
    <w:p>
      <w:pPr>
        <w:jc w:val="both"/>
        <w:ind w:firstLine="8"/>
        <w:spacing w:after="0" w:line="249" w:lineRule="auto"/>
        <w:tabs>
          <w:tab w:leader="none" w:pos="331" w:val="left"/>
        </w:tabs>
        <w:numPr>
          <w:ilvl w:val="0"/>
          <w:numId w:val="45"/>
        </w:numPr>
        <w:rPr>
          <w:rFonts w:ascii="Times New Roman" w:cs="Times New Roman" w:eastAsia="Times New Roman" w:hAnsi="Times New Roman"/>
          <w:sz w:val="22"/>
          <w:szCs w:val="22"/>
          <w:u w:val="single" w:color="auto"/>
          <w:color w:val="00CC00"/>
        </w:rPr>
      </w:pPr>
      <w:r>
        <w:rPr>
          <w:rFonts w:ascii="Times New Roman" w:cs="Times New Roman" w:eastAsia="Times New Roman" w:hAnsi="Times New Roman"/>
          <w:sz w:val="22"/>
          <w:szCs w:val="22"/>
          <w:u w:val="single" w:color="auto"/>
          <w:color w:val="00CC00"/>
        </w:rPr>
        <w:t xml:space="preserve">with respect to the Non-Extended </w:t>
      </w:r>
      <w:r>
        <w:rPr>
          <w:rFonts w:ascii="Times New Roman" w:cs="Times New Roman" w:eastAsia="Times New Roman" w:hAnsi="Times New Roman"/>
          <w:sz w:val="22"/>
          <w:szCs w:val="22"/>
          <w:u w:val="single" w:color="auto"/>
          <w:color w:val="0000FF"/>
        </w:rPr>
        <w:t>Revolving Credit Facility, April 9, 2028, (c)</w:t>
      </w:r>
      <w:r>
        <w:rPr>
          <w:rFonts w:ascii="Times New Roman" w:cs="Times New Roman" w:eastAsia="Times New Roman" w:hAnsi="Times New Roman"/>
          <w:sz w:val="22"/>
          <w:szCs w:val="22"/>
          <w:u w:val="single" w:color="auto"/>
          <w:color w:val="00CC00"/>
        </w:rPr>
        <w:t xml:space="preserve"> with respect to the Non-Extended Term A Facility</w:t>
      </w:r>
      <w:r>
        <w:rPr>
          <w:rFonts w:ascii="Times New Roman" w:cs="Times New Roman" w:eastAsia="Times New Roman" w:hAnsi="Times New Roman"/>
          <w:sz w:val="22"/>
          <w:szCs w:val="22"/>
          <w:u w:val="single" w:color="auto"/>
          <w:color w:val="0000FF"/>
        </w:rPr>
        <w:t>, April 9, 2028, (d) with respect to the Extended Term A Facility, October 29, 2030 and (e) with respect to each</w:t>
      </w:r>
      <w:r>
        <w:rPr>
          <w:rFonts w:ascii="Times New Roman" w:cs="Times New Roman" w:eastAsia="Times New Roman" w:hAnsi="Times New Roman"/>
          <w:sz w:val="22"/>
          <w:szCs w:val="22"/>
          <w:u w:val="single" w:color="auto"/>
          <w:color w:val="00CC00"/>
        </w:rPr>
        <w:t xml:space="preserve"> </w:t>
      </w:r>
      <w:r>
        <w:rPr>
          <w:rFonts w:ascii="Times New Roman" w:cs="Times New Roman" w:eastAsia="Times New Roman" w:hAnsi="Times New Roman"/>
          <w:sz w:val="22"/>
          <w:szCs w:val="22"/>
          <w:u w:val="single" w:color="auto"/>
          <w:color w:val="0000FF"/>
        </w:rPr>
        <w:t xml:space="preserve">Incremental Term Facility or Extension Series, if any, the </w:t>
      </w:r>
      <w:r>
        <w:rPr>
          <w:rFonts w:ascii="Times New Roman" w:cs="Times New Roman" w:eastAsia="Times New Roman" w:hAnsi="Times New Roman"/>
          <w:sz w:val="22"/>
          <w:szCs w:val="22"/>
          <w:u w:val="single" w:color="auto"/>
          <w:color w:val="00CC00"/>
        </w:rPr>
        <w:t>date specified as such in the respective Incremental Term Supplement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C00"/>
        </w:rPr>
        <w:t>or Extension Amendment, as applicable</w:t>
      </w:r>
      <w:r>
        <w:rPr>
          <w:rFonts w:ascii="Times New Roman" w:cs="Times New Roman" w:eastAsia="Times New Roman" w:hAnsi="Times New Roman"/>
          <w:sz w:val="22"/>
          <w:szCs w:val="22"/>
          <w:u w:val="single" w:color="auto"/>
          <w:color w:val="0000FF"/>
        </w:rPr>
        <w:t>.</w:t>
      </w:r>
    </w:p>
    <w:p>
      <w:pPr>
        <w:spacing w:after="0" w:line="182"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0" w:name="page81"/>
    <w:bookmarkEnd w:id="80"/>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Cash Management Agreement</w:t>
      </w:r>
      <w:r>
        <w:rPr>
          <w:rFonts w:ascii="Times New Roman" w:cs="Times New Roman" w:eastAsia="Times New Roman" w:hAnsi="Times New Roman"/>
          <w:sz w:val="21"/>
          <w:szCs w:val="21"/>
          <w:color w:val="auto"/>
        </w:rPr>
        <w:t>” means (i) any Cash Management Agreement that is entered into by and between one or more Loan Parties or non-Loan Party wholly owned Restricted Subsidiaries, on the one hand, and any Cash Management Bank, on the other hand, and (ii) any Cash Management Agreement with a Cash Management Bank entered into under the Original Credit Agreement or the First A&amp;R Credit Agreement that remains outstanding on the Closing Date and that qualified as a Secured Cash Management Agreement under the Original Credit Agreement or the First A&amp;R Credit Agreement.</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xml:space="preserve">” means (i) any Swap Contract permitted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that is entered into by and between the Borrower and any Hedge Bank and that has been designated to the Administrative Agent in writing by such Hedge Bank as being a Secured Hedge Agreement for the purposes of the Loan Documents and (ii) any interest rate hedge with a Hedge Bank entered into under the Original Credit Agreement or the First A&amp;R Credit Agreement that remains outstanding on the Closing Date and that qualified as a Secured Hedge Agreement under the Original Credit Agreement or the First A&amp;R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interest rate hedge has been identified on </w:t>
      </w:r>
      <w:r>
        <w:rPr>
          <w:rFonts w:ascii="Times New Roman" w:cs="Times New Roman" w:eastAsia="Times New Roman" w:hAnsi="Times New Roman"/>
          <w:sz w:val="22"/>
          <w:szCs w:val="22"/>
          <w:u w:val="single" w:color="auto"/>
          <w:color w:val="auto"/>
        </w:rPr>
        <w:t>Schedule 1.01(iv)</w:t>
      </w:r>
      <w:r>
        <w:rPr>
          <w:rFonts w:ascii="Times New Roman" w:cs="Times New Roman" w:eastAsia="Times New Roman" w:hAnsi="Times New Roman"/>
          <w:sz w:val="22"/>
          <w:szCs w:val="22"/>
          <w:color w:val="auto"/>
        </w:rPr>
        <w:t xml:space="preserve"> hereto as being a Secured Hedge Agreement for the purposes of the Loan Documents.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 the Lenders, the L/C Issuers, the Hedge Banks, the Cash Management Banks,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and the other Persons the Obligations owing to which are or are stated to be secured by the Collateral under the terms of the Collateral Documents.</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means the Securities Act of 1933, the Securities Exchange Act of 1934, the Sarbanes-Oxley Act of 2002, and the applicable accounting and auditing principles, rules, standards and practices promulgated, approved or incorporated by the SEC or the Public Company Accounting Oversight Board.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means that certain Second Amended and Restated Security Agreement, dated as of July 28, 2017, as amended, supplemented, modified or waived from time to time in accordance with the terms thereof, among certain Loan Parties and the Collateral Agent.</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w:t>
      </w:r>
      <w:r>
        <w:rPr>
          <w:rFonts w:ascii="Times New Roman" w:cs="Times New Roman" w:eastAsia="Times New Roman" w:hAnsi="Times New Roman"/>
          <w:sz w:val="22"/>
          <w:szCs w:val="22"/>
          <w:color w:val="auto"/>
        </w:rPr>
        <w:t>” means (a) the 4.75% Senior Notes due 2025, issued pursuant to the Senior Notes Indenture (including the second supplemental indenture thereto) in the aggregate original principal amount of $800,000,000 and (b) the 4.25% Senior Notes due 2029, issued pursuant to the Senior Notes Indenture (including the third supplemental indenture thereto) in the aggregate original principal amount of $1,000,000,000.</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 Indenture</w:t>
      </w:r>
      <w:r>
        <w:rPr>
          <w:rFonts w:ascii="Times New Roman" w:cs="Times New Roman" w:eastAsia="Times New Roman" w:hAnsi="Times New Roman"/>
          <w:sz w:val="22"/>
          <w:szCs w:val="22"/>
          <w:color w:val="auto"/>
        </w:rPr>
        <w:t>” means that certain Indenture, dated as of March 30, 2016, as supplemented in accordance with the terms thereof, by and among the Company, the guarantors party thereto and U.S. Bank National Association, as trustee, with respect to the Senior Notes.</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Secured Leverage Ratio</w:t>
      </w:r>
      <w:r>
        <w:rPr>
          <w:rFonts w:ascii="Times New Roman" w:cs="Times New Roman" w:eastAsia="Times New Roman" w:hAnsi="Times New Roman"/>
          <w:sz w:val="22"/>
          <w:szCs w:val="22"/>
          <w:color w:val="auto"/>
        </w:rPr>
        <w:t>” means, as of any date, the ratio of (i) the Total Outstandings and the aggregate principal amount of outstanding Incremental Equivalent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that is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on such date to (ii) Annual Adjusted Operating Income determined as of the last day of the month covered by the then most recent Compliance Certificate delivered to the Lenders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a copy of which has been delivered to the Administrative Agent (and any change in such ratio as a result of a change in the amount of Total Outstandings and such Incremental Equivalent Debt shall be effective as of the date such change shall occur and any change in such ratio as a result of a change in the amount of Annual Adjusted Operating Income shall be effective as of the date of receipt by the Administrative Agent of the Compliance Certificate delivered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reflecting such change).</w:t>
      </w:r>
    </w:p>
    <w:p>
      <w:pPr>
        <w:spacing w:after="0" w:line="18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Company</w:t>
      </w:r>
      <w:r>
        <w:rPr>
          <w:rFonts w:ascii="Times New Roman" w:cs="Times New Roman" w:eastAsia="Times New Roman" w:hAnsi="Times New Roman"/>
          <w:sz w:val="22"/>
          <w:szCs w:val="22"/>
          <w:color w:val="auto"/>
        </w:rPr>
        <w:t xml:space="preserve">” means (i) each of AMCNI, AMC, IFC, WE and Sundance, and (ii) each other Restricted Subsidiary that directly or indirectly owns a material programming network that had $200 million or more in gross operating revenues for the period of four consecutive Quarters covered by the then most recent Compliance Certificate delivered to the Lenders pursuant to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Restricted Subsidiary</w:t>
      </w:r>
      <w:r>
        <w:rPr>
          <w:rFonts w:ascii="Times New Roman" w:cs="Times New Roman" w:eastAsia="Times New Roman" w:hAnsi="Times New Roman"/>
          <w:sz w:val="22"/>
          <w:szCs w:val="22"/>
          <w:color w:val="auto"/>
        </w:rPr>
        <w:t>” means a Restricted Subsidiary having (x) revenues in excess of $20,000,000 for the four Quarter period then ended or (y) assets in excess of $50,000,000 recorded on its most recent audited balance sheet.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 Borrowing comprised of SOFR Loans.</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any Loan bearing interest at a rate determined by reference to Adjusted Term SOFR (other than pursuant to clause (c) of the definition of “Base Rate”).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the intellectual property rights embodied in computer programs, computer applications, source code, object code and related documentation.</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3" w:right="339" w:bottom="1440" w:gutter="0" w:footer="0" w:header="0"/>
        </w:sectPr>
      </w:pPr>
    </w:p>
    <w:bookmarkStart w:id="82" w:name="page83"/>
    <w:bookmarkEnd w:id="82"/>
    <w:p>
      <w:pPr>
        <w:jc w:val="both"/>
        <w:spacing w:after="0" w:line="250" w:lineRule="auto"/>
        <w:rPr>
          <w:sz w:val="20"/>
          <w:szCs w:val="20"/>
          <w:color w:val="auto"/>
        </w:rPr>
      </w:pPr>
      <w:r>
        <w:rPr>
          <w:rFonts w:ascii="Times New Roman" w:cs="Times New Roman" w:eastAsia="Times New Roman" w:hAnsi="Times New Roman"/>
          <w:sz w:val="22"/>
          <w:szCs w:val="22"/>
          <w:color w:val="auto"/>
        </w:rPr>
        <w:t>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means a certificate of a senior financial executive of the Company in form and substance reasonably satisfactory to the Administrative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10.06(h)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Producer</w:t>
      </w:r>
      <w:r>
        <w:rPr>
          <w:rFonts w:ascii="Times New Roman" w:cs="Times New Roman" w:eastAsia="Times New Roman" w:hAnsi="Times New Roman"/>
          <w:sz w:val="22"/>
          <w:szCs w:val="22"/>
          <w:color w:val="auto"/>
        </w:rPr>
        <w:t>” means a Subsidiary formed solely for the purpose of producing content (including films, series, shows or other content) or any audio-visual product or live or location-based entertainment which, in each case, is expected to be purchased or distributed in whole or in part by the Borrower or any of its Restricted Subsidiaries.</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Undertakings</w:t>
      </w:r>
      <w:r>
        <w:rPr>
          <w:rFonts w:ascii="Times New Roman" w:cs="Times New Roman" w:eastAsia="Times New Roman" w:hAnsi="Times New Roman"/>
          <w:sz w:val="22"/>
          <w:szCs w:val="22"/>
          <w:color w:val="auto"/>
        </w:rPr>
        <w:t>” means representations, warranties, covenants, indemnities, reimbursement obligations, performance undertakings, guarantees of performance, and similar customary payment obligations entered into by the Borrower or any of its Subsidiaries, whether joint and several or otherwise, which the Borrower has determined in good faith to be customary in a Receivables Financing including, without limitation, those relating to the servicing of the assets of a Receivables Subsidiary, it being understood that any Receivables Financing Repurchase Obligation shall be deemed to be a Standard Undertaking.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Indebtedness of any Loan Party that is subordinated to the Obligations of such Loan Party under the Loan Documents.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 Documents</w:t>
      </w:r>
      <w:r>
        <w:rPr>
          <w:rFonts w:ascii="Times New Roman" w:cs="Times New Roman" w:eastAsia="Times New Roman" w:hAnsi="Times New Roman"/>
          <w:sz w:val="22"/>
          <w:szCs w:val="22"/>
          <w:color w:val="auto"/>
        </w:rPr>
        <w:t>” means all agreements, indentures and instruments pursuant to which any Subordinated Debt is issued, in each case as amended to the extent permitted under the Loan Documents.</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or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shall refer to a Subsidiary or Subsidiaries of the Company.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Sundance</w:t>
      </w:r>
      <w:r>
        <w:rPr>
          <w:rFonts w:ascii="Times New Roman" w:cs="Times New Roman" w:eastAsia="Times New Roman" w:hAnsi="Times New Roman"/>
          <w:sz w:val="21"/>
          <w:szCs w:val="21"/>
          <w:color w:val="auto"/>
        </w:rPr>
        <w:t>” means SundanceTV LLC (formerly Sundance Channel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3" w:name="page84"/>
    <w:bookmarkEnd w:id="83"/>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Sundance International Guarantors</w:t>
      </w:r>
      <w:r>
        <w:rPr>
          <w:rFonts w:ascii="Times New Roman" w:cs="Times New Roman" w:eastAsia="Times New Roman" w:hAnsi="Times New Roman"/>
          <w:sz w:val="22"/>
          <w:szCs w:val="22"/>
          <w:color w:val="auto"/>
        </w:rPr>
        <w:t>” means AMCNI, AMC/Sundance Channel Global Networks LLC, a Delaware limited liability company, AMC Networks International Asia-Pacific LLC, a Delaware limited liability company, and WE tv Asia LLC, a Delaware limited liability company.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9" w:lineRule="exact"/>
        <w:rPr>
          <w:sz w:val="20"/>
          <w:szCs w:val="20"/>
          <w:color w:val="auto"/>
        </w:rPr>
      </w:pPr>
    </w:p>
    <w:p>
      <w:pPr>
        <w:jc w:val="both"/>
        <w:ind w:right="20" w:firstLine="1296"/>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2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Borrowing</w:t>
      </w:r>
      <w:r>
        <w:rPr>
          <w:rFonts w:ascii="Times New Roman" w:cs="Times New Roman" w:eastAsia="Times New Roman" w:hAnsi="Times New Roman"/>
          <w:sz w:val="22"/>
          <w:szCs w:val="22"/>
          <w:color w:val="auto"/>
        </w:rPr>
        <w:t xml:space="preserve">” means a borrowing of Swingline Loans made by the Swingline Lender pursuant to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any Lender or the Administrative Agent as agreed to at any time by the Company and such Lender or the Administrative Agent, in either case as designated in accordance with this Credit Agreement. The initial Swingline Lender shall be JPMCB.</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Note</w:t>
      </w:r>
      <w:r>
        <w:rPr>
          <w:rFonts w:ascii="Times New Roman" w:cs="Times New Roman" w:eastAsia="Times New Roman" w:hAnsi="Times New Roman"/>
          <w:sz w:val="22"/>
          <w:szCs w:val="22"/>
          <w:color w:val="auto"/>
        </w:rPr>
        <w:t xml:space="preserve">” means a promissory note made by the Borrower in favor of the Swingline Lender evidencing Swingline Loans made by the Swingline Lender, substantially in the form of </w:t>
      </w:r>
      <w:r>
        <w:rPr>
          <w:rFonts w:ascii="Times New Roman" w:cs="Times New Roman" w:eastAsia="Times New Roman" w:hAnsi="Times New Roman"/>
          <w:sz w:val="22"/>
          <w:szCs w:val="22"/>
          <w:u w:val="single" w:color="auto"/>
          <w:color w:val="auto"/>
        </w:rPr>
        <w:t>Exhibit B-4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Swingline Sublimit</w:t>
      </w:r>
      <w:r>
        <w:rPr>
          <w:rFonts w:ascii="Times New Roman" w:cs="Times New Roman" w:eastAsia="Times New Roman" w:hAnsi="Times New Roman"/>
          <w:sz w:val="21"/>
          <w:szCs w:val="21"/>
          <w:color w:val="auto"/>
        </w:rPr>
        <w:t>” means $20,000,000. The Swingline Sublimit is part of, and not in addition to, the Revolving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Facility.</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assessments or other charges (including withholdings) imposed by any Governmental Authority with authority to impose the same,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4" w:name="page85"/>
    <w:bookmarkEnd w:id="84"/>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Borrowing</w:t>
      </w:r>
      <w:r>
        <w:rPr>
          <w:rFonts w:ascii="Times New Roman" w:cs="Times New Roman" w:eastAsia="Times New Roman" w:hAnsi="Times New Roman"/>
          <w:sz w:val="22"/>
          <w:szCs w:val="22"/>
          <w:color w:val="auto"/>
        </w:rPr>
        <w:t xml:space="preserve">” means a borrowing consisting of simultaneous Term A Loans of the same Type and, in the case of SOFR Loans, having the same Interest Period made by each of the Term A Lenders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Commitment</w:t>
      </w:r>
      <w:r>
        <w:rPr>
          <w:rFonts w:ascii="Times New Roman" w:cs="Times New Roman" w:eastAsia="Times New Roman" w:hAnsi="Times New Roman"/>
          <w:sz w:val="22"/>
          <w:szCs w:val="22"/>
          <w:color w:val="auto"/>
        </w:rPr>
        <w:t xml:space="preserve">” means, as to each Term A Lender, its obligation to make Term A Loans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 an aggregate principal amount at any one time outstanding not to exceed the amount set forth opposite such Term A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“Term A Commitment” or opposite such caption in the Assignment and Assumption pursuant to which such Term A Lender becomes a party hereto, as applicable, as such amount may be adjusted from time to time in accordance with this Credit Agreement. As of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there are no Term A Commitments outstanding.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Facility</w:t>
      </w:r>
      <w:r>
        <w:rPr>
          <w:rFonts w:ascii="Times New Roman" w:cs="Times New Roman" w:eastAsia="Times New Roman" w:hAnsi="Times New Roman"/>
          <w:sz w:val="22"/>
          <w:szCs w:val="22"/>
          <w:color w:val="auto"/>
        </w:rPr>
        <w:t>” means at any time, the Non-Extended Term A Facility and the Extended Term A Facility.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Lender</w:t>
      </w:r>
      <w:r>
        <w:rPr>
          <w:rFonts w:ascii="Times New Roman" w:cs="Times New Roman" w:eastAsia="Times New Roman" w:hAnsi="Times New Roman"/>
          <w:sz w:val="22"/>
          <w:szCs w:val="22"/>
          <w:color w:val="auto"/>
        </w:rPr>
        <w:t>” means at any time, an Non-Extended Term A Lender, Extended Term A Lender or Incremental Term Lender that has Term A Commitments or holds Term A Loans (for the avoidance of doubt, including Extended Term A Lenders), if any, as the context may require.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Loan</w:t>
      </w:r>
      <w:r>
        <w:rPr>
          <w:rFonts w:ascii="Times New Roman" w:cs="Times New Roman" w:eastAsia="Times New Roman" w:hAnsi="Times New Roman"/>
          <w:sz w:val="22"/>
          <w:szCs w:val="22"/>
          <w:color w:val="auto"/>
        </w:rPr>
        <w:t>” means a Non-Extended Term A Loan or an Extended Term A Loan.</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Note</w:t>
      </w:r>
      <w:r>
        <w:rPr>
          <w:rFonts w:ascii="Times New Roman" w:cs="Times New Roman" w:eastAsia="Times New Roman" w:hAnsi="Times New Roman"/>
          <w:sz w:val="22"/>
          <w:szCs w:val="22"/>
          <w:color w:val="auto"/>
        </w:rPr>
        <w:t xml:space="preserve">” means a promissory note made by the Borrower in favor of a Term A Lender evidencing Term A Loans made by such Term A Lender,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w:t>
      </w:r>
      <w:r>
        <w:rPr>
          <w:rFonts w:ascii="Times New Roman" w:cs="Times New Roman" w:eastAsia="Times New Roman" w:hAnsi="Times New Roman"/>
          <w:sz w:val="22"/>
          <w:szCs w:val="22"/>
          <w:color w:val="auto"/>
        </w:rPr>
        <w:t>” means a Term A Borrowing or Incremental Term Borrowing, if any, as the context may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Commitment</w:t>
      </w:r>
      <w:r>
        <w:rPr>
          <w:rFonts w:ascii="Times New Roman" w:cs="Times New Roman" w:eastAsia="Times New Roman" w:hAnsi="Times New Roman"/>
          <w:sz w:val="21"/>
          <w:szCs w:val="21"/>
          <w:color w:val="auto"/>
        </w:rPr>
        <w:t>” means a Term A Commitment or Incremental Term Commitment, if any, as the context may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means, at any time, the Term A Facility or Incremental Term Facility, if any, as the context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at any time, a Term A Lender or Incremental Term Lender, if any, as the context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a Term A Loan or Incremental Term Loan, if any, as the context may require.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Extension Request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Extension Series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5" w:name="page86"/>
    <w:bookmarkEnd w:id="8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4"/>
        <w:spacing w:after="0" w:line="261" w:lineRule="auto"/>
        <w:tabs>
          <w:tab w:leader="none" w:pos="184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SOFR Loan and for any tenor comparable to the applicable Interest Period, the Term SOFR Reference Rate for a tenor comparable to the applicable Interest Period at approximately 6:00 a.m., New York City time, on the day (such day, the “</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as of 5:00 p.m. (New York City time) on any Periodic Term SOFR Determination Day the Term SOFR Reference Rate for the applicable tenor has not been published by the SOFR Administrator and a Benchmark Replacement Date with respect to the Term SOFR Reference Rate has not occurred, then, so long as such day is otherwise a U.S. Government Securities Business Day,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five (5) U.S. Government Securities Business Days prior to such Periodic Term SOFR Determination Day, and</w:t>
      </w:r>
    </w:p>
    <w:p>
      <w:pPr>
        <w:spacing w:after="0" w:line="175"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0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and for any tenor comparable to the applicable Interest Period, the Term SOFR Reference Rate for a tenor of one month at approximately 6:00 a.m., New York City time,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Base Rate Term SOFR Determination Day the Term SOFR Reference Rate for the applicable tenor has not been published by the SOFR Administrator and a Benchmark Replacement Date with respect to the Term SOFR Reference Rate has not occurred, then, so long as such day is otherwise a U.S. Government Securities Business Day,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five (5) U.S. Government Securities Business Days prior to such Base Rate Term SOFR Determination Day.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means (i) a Reportable Event, (ii) the termination of a Plan, or the filing of a notice of intent to terminate a Plan, or the treatment of a Plan amendment as a termination under Section 4041(e) of ERISA, (iii) the institution of proceedings to terminate a Plan under Section 4042 of ERISA or (iv) the appointment of a trustee to administer any Plan under Section 4042 of ERISA.</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Interest Expense</w:t>
      </w:r>
      <w:r>
        <w:rPr>
          <w:rFonts w:ascii="Times New Roman" w:cs="Times New Roman" w:eastAsia="Times New Roman" w:hAnsi="Times New Roman"/>
          <w:sz w:val="22"/>
          <w:szCs w:val="22"/>
          <w:color w:val="auto"/>
        </w:rPr>
        <w:t>” means, for any period, the sum of (i) the aggregate amount of interest accrued during such period in respect of Indebtedness (including the interest component of rentals in respect of Finance Lease Obligations) of the Company and the Restricted Subsidiaries (determined on a consolidated basis), other than obligations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6" w:name="page87"/>
    <w:bookmarkEnd w:id="8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Guarantee permitted under subparagraph (x) of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(ii) the aggregate amount of fees accrued in respect of the Letters of Credit hereunder during such period and (iii) the aggregate amount of Commitment Fees accrued hereunder during such period, but excluding commissions, discounts, yield and other fees and charges related to any Qualified Receivables Financing. For purposes of this definition, the amount of interest accrued in respect of Indebtedness for any period (A) shall be increased (to the extent not already treated as interest expense or income, as the case may be) by the excess, if any, of amounts payable by the Company and/or any Restricted Subsidiary arising under any interest rate Swap Contract during such period over amounts receivable by the Company and/or any Restricted Subsidiary thereunder (or reduced by the excess, if any, of such amounts receivable over such amounts payable) and interest on a Finance Lease Obligation shall be deemed to accrue at an interest rate reasonably determined by the Company to be the rate of interest implicit in such Finance Lease Obligation in accordance with GAAP and (B) shall be increased or reduced, as the case may be, by the amount of interest accrued during such period in respect of Indebtedness of the Company or any Restricted Subsidiary in respect of assets acquired or disposed of (including by means of any redesignation of any Subsidiary pursuant to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by the Company or any Restricted Subsidiary on or after the first day of such period, determined on a pro forma basis reasonably satisfactory to the Administrative Agent (it being agreed that it shall be satisfactory to the Administrative Agent that such pro forma calculations may be based upon GAAP as applied in the preparation of the financial statements for the Company, delivered in accordance with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rather than as applied in the financial statements of the Person whose assets were acquired and may include, in the Company’s discretion, a reasonable estimate of savings resulting from any such acquisitions or dispositions, as though the Company or such Restricted Subsidiary acquired or disposed of such assets on the first day of such period).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Credit Outstandings</w:t>
      </w:r>
      <w:r>
        <w:rPr>
          <w:rFonts w:ascii="Times New Roman" w:cs="Times New Roman" w:eastAsia="Times New Roman" w:hAnsi="Times New Roman"/>
          <w:sz w:val="22"/>
          <w:szCs w:val="22"/>
          <w:color w:val="auto"/>
        </w:rPr>
        <w:t>” means the aggregate Outstanding Amount of all Revolving Credit Loans, Swingline Loans and L/C Obligations.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all confidential and proprietary information, including, without limitation, know-how, trade secrets, inventions, research and development information, databases and data, pricing and cost information, business and marketing plans and customer and supplier lists and information.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 Licenses</w:t>
      </w:r>
      <w:r>
        <w:rPr>
          <w:rFonts w:ascii="Times New Roman" w:cs="Times New Roman" w:eastAsia="Times New Roman" w:hAnsi="Times New Roman"/>
          <w:sz w:val="22"/>
          <w:szCs w:val="22"/>
          <w:color w:val="auto"/>
        </w:rPr>
        <w:t>” means any agreement, whether written or oral, providing for the grant by or to a Person of any right under a Trade Secret.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Licenses</w:t>
      </w:r>
      <w:r>
        <w:rPr>
          <w:rFonts w:ascii="Times New Roman" w:cs="Times New Roman" w:eastAsia="Times New Roman" w:hAnsi="Times New Roman"/>
          <w:sz w:val="22"/>
          <w:szCs w:val="22"/>
          <w:color w:val="auto"/>
        </w:rPr>
        <w:t>” means any agreement, whether written or oral, providing for the grant by or to a Person of any right to use any Trademark.</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all trademarks, trade names, corporate names, company names, business names, fictitious business names, service marks, elements of package or trade dress of goods or services, logos and other source or business identifiers, together with the goodwill associated therewith, now existing or hereafter adopted or acquired, all registrations and recordings thereof, and all application in connection therewith, whether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7" w:name="page88"/>
    <w:bookmarkEnd w:id="87"/>
    <w:p>
      <w:pPr>
        <w:jc w:val="both"/>
        <w:spacing w:after="0" w:line="271" w:lineRule="auto"/>
        <w:rPr>
          <w:sz w:val="20"/>
          <w:szCs w:val="20"/>
          <w:color w:val="auto"/>
        </w:rPr>
      </w:pPr>
      <w:r>
        <w:rPr>
          <w:rFonts w:ascii="Times New Roman" w:cs="Times New Roman" w:eastAsia="Times New Roman" w:hAnsi="Times New Roman"/>
          <w:sz w:val="22"/>
          <w:szCs w:val="22"/>
          <w:color w:val="auto"/>
        </w:rPr>
        <w:t>Patent and Trademark Office or in any similar office or agency of the United States, any State thereof or any other country or any political subdivision thereof and all renewals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 SOFR Loan.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has the meaning given to such term in the Security Agreement.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the Uniform Customs and Practice for Documentary Credits, 2007 revision, International Chamber of Commerce Publication No. 600, as the same may be amended and in effect from time to time.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 Adjusted Combined Revenues</w:t>
      </w:r>
      <w:r>
        <w:rPr>
          <w:rFonts w:ascii="Times New Roman" w:cs="Times New Roman" w:eastAsia="Times New Roman" w:hAnsi="Times New Roman"/>
          <w:sz w:val="22"/>
          <w:szCs w:val="22"/>
          <w:color w:val="auto"/>
        </w:rPr>
        <w:t xml:space="preserve">” equals, for any period, on a combined basis, the aggregate (a) revenue of each Unrestricted Subsidiary for such period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(b) the percentage of the outstanding Equity Interests in such Unrestricted Subsidiary held, directly or indirectly, by the Company and the Restricted Subsidiaries as of the end of such period.</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Subsidiaries</w:t>
      </w:r>
      <w:r>
        <w:rPr>
          <w:rFonts w:ascii="Times New Roman" w:cs="Times New Roman" w:eastAsia="Times New Roman" w:hAnsi="Times New Roman"/>
          <w:sz w:val="22"/>
          <w:szCs w:val="22"/>
          <w:color w:val="auto"/>
        </w:rPr>
        <w:t xml:space="preserve">” means the Persons set forth on </w:t>
      </w:r>
      <w:r>
        <w:rPr>
          <w:rFonts w:ascii="Times New Roman" w:cs="Times New Roman" w:eastAsia="Times New Roman" w:hAnsi="Times New Roman"/>
          <w:sz w:val="22"/>
          <w:szCs w:val="22"/>
          <w:u w:val="single" w:color="auto"/>
          <w:color w:val="auto"/>
        </w:rPr>
        <w:t>Schedule 1.01(ii)</w:t>
      </w:r>
      <w:r>
        <w:rPr>
          <w:rFonts w:ascii="Times New Roman" w:cs="Times New Roman" w:eastAsia="Times New Roman" w:hAnsi="Times New Roman"/>
          <w:sz w:val="22"/>
          <w:szCs w:val="22"/>
          <w:color w:val="auto"/>
        </w:rPr>
        <w:t xml:space="preserve"> and any New Unrestricted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Unrestricted Subsidiary redesignated by the Company as a Restricted Subsidiary pursuant to and in compliance with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shall cease to be an Unrestricted Subsidiary. Notwithstanding anything to the contrary, the Borrower shall not, and shall not permit any of its Restricted Subsidiaries to, transfer (including by way of Investment or Disposition, but excluding any </w:t>
      </w:r>
      <w:r>
        <w:rPr>
          <w:rFonts w:ascii="Times New Roman" w:cs="Times New Roman" w:eastAsia="Times New Roman" w:hAnsi="Times New Roman"/>
          <w:sz w:val="22"/>
          <w:szCs w:val="22"/>
          <w:u w:val="single" w:color="auto"/>
          <w:color w:val="0000FF"/>
        </w:rPr>
        <w:t>non-exclusive</w:t>
      </w:r>
      <w:r>
        <w:rPr>
          <w:rFonts w:ascii="Times New Roman" w:cs="Times New Roman" w:eastAsia="Times New Roman" w:hAnsi="Times New Roman"/>
          <w:sz w:val="22"/>
          <w:szCs w:val="22"/>
          <w:color w:val="auto"/>
        </w:rPr>
        <w:t xml:space="preserve"> license for a bona fide business purpose and not liability management as conclusively determined by the Borrower in good faith) to any Unrestricted Subsidiary, or any Unrestricted Subsidiary to own, the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22"/>
          <w:szCs w:val="22"/>
          <w:color w:val="auto"/>
        </w:rPr>
        <w:t>representing the AMC Networks, AMC+, IFC TV, IFC Films, Shudder or WE TV brands that are owned by the Borrower or any of its Subsidiaries.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Waivable Prepayment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2.04(b)(vii)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means WE tv LLC (formerly WE: Women’s Entertainment LLC), a Delaware limited liability company.</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1.02 </w:t>
      </w:r>
      <w:r>
        <w:rPr>
          <w:rFonts w:ascii="Times New Roman" w:cs="Times New Roman" w:eastAsia="Times New Roman" w:hAnsi="Times New Roman"/>
          <w:sz w:val="22"/>
          <w:szCs w:val="22"/>
          <w:color w:val="000000"/>
        </w:rPr>
        <w:t>Other Interpretive Provisions. With reference to this Credit Agreement and each other Loan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Document, unless otherwise specified herein or in such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-193675</wp:posOffset>
            </wp:positionV>
            <wp:extent cx="1899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jc w:val="both"/>
        <w:ind w:left="660" w:firstLine="644"/>
        <w:spacing w:after="0" w:line="259" w:lineRule="auto"/>
        <w:tabs>
          <w:tab w:leader="none" w:pos="1855"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shall be deemed to be followed by the phrase “without limitation.”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shall be construed to have the same meaning and effect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89" w:name="page90"/>
    <w:bookmarkEnd w:id="89"/>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(except when used as accounting terms, in which case GAAP shall apply)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jc w:val="both"/>
        <w:ind w:left="660" w:firstLine="644"/>
        <w:spacing w:after="0" w:line="257" w:lineRule="auto"/>
        <w:tabs>
          <w:tab w:leader="none" w:pos="1805"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computation of periods of time from a specified date to a later specified date, the word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from and including</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until</w:t>
      </w:r>
      <w:r>
        <w:rPr>
          <w:rFonts w:ascii="Times New Roman" w:cs="Times New Roman" w:eastAsia="Times New Roman" w:hAnsi="Times New Roman"/>
          <w:sz w:val="22"/>
          <w:szCs w:val="22"/>
          <w:color w:val="auto"/>
        </w:rPr>
        <w:t>” each mean “</w:t>
      </w:r>
      <w:r>
        <w:rPr>
          <w:rFonts w:ascii="Times New Roman" w:cs="Times New Roman" w:eastAsia="Times New Roman" w:hAnsi="Times New Roman"/>
          <w:sz w:val="22"/>
          <w:szCs w:val="22"/>
          <w:u w:val="single" w:color="auto"/>
          <w:color w:val="auto"/>
        </w:rPr>
        <w:t>to but excluding</w:t>
      </w:r>
      <w:r>
        <w:rPr>
          <w:rFonts w:ascii="Times New Roman" w:cs="Times New Roman" w:eastAsia="Times New Roman" w:hAnsi="Times New Roman"/>
          <w:sz w:val="22"/>
          <w:szCs w:val="22"/>
          <w:color w:val="auto"/>
        </w:rPr>
        <w:t>;” and the word “</w:t>
      </w:r>
      <w:r>
        <w:rPr>
          <w:rFonts w:ascii="Times New Roman" w:cs="Times New Roman" w:eastAsia="Times New Roman" w:hAnsi="Times New Roman"/>
          <w:sz w:val="22"/>
          <w:szCs w:val="22"/>
          <w:u w:val="single" w:color="auto"/>
          <w:color w:val="auto"/>
        </w:rPr>
        <w:t>through</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to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010000"/>
        </w:rPr>
      </w:pPr>
    </w:p>
    <w:p>
      <w:pPr>
        <w:ind w:left="660" w:firstLine="644"/>
        <w:spacing w:after="0" w:line="271" w:lineRule="auto"/>
        <w:tabs>
          <w:tab w:leader="none" w:pos="1769"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Credit Agreement or any other Loan Document.</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1.03 </w:t>
      </w:r>
      <w:r>
        <w:rPr>
          <w:rFonts w:ascii="Times New Roman" w:cs="Times New Roman" w:eastAsia="Times New Roman" w:hAnsi="Times New Roman"/>
          <w:sz w:val="22"/>
          <w:szCs w:val="22"/>
          <w:color w:val="000000"/>
        </w:rPr>
        <w:t>Accounting Terms.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Generally</w:t>
      </w:r>
      <w:r>
        <w:rPr>
          <w:rFonts w:ascii="Times New Roman" w:cs="Times New Roman" w:eastAsia="Times New Roman" w:hAnsi="Times New Roman"/>
          <w:sz w:val="22"/>
          <w:szCs w:val="22"/>
          <w:color w:val="000000"/>
        </w:rPr>
        <w:t>. All accounting terms not specifically or completely defined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herein shall be construed in conformity with, and all financial data (including financial ratios and other financial calculations) required to be submitted pursuant to this Credit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000000"/>
        </w:rPr>
        <w:t>except</w:t>
      </w:r>
      <w:r>
        <w:rPr>
          <w:rFonts w:ascii="Times New Roman" w:cs="Times New Roman" w:eastAsia="Times New Roman" w:hAnsi="Times New Roman"/>
          <w:sz w:val="22"/>
          <w:szCs w:val="22"/>
          <w:color w:val="000000"/>
        </w:rPr>
        <w:t xml:space="preserve"> as otherwise specifically prescribed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-690245</wp:posOffset>
            </wp:positionV>
            <wp:extent cx="1247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jc w:val="both"/>
        <w:ind w:firstLine="1304"/>
        <w:spacing w:after="0" w:line="246" w:lineRule="auto"/>
        <w:tabs>
          <w:tab w:leader="none" w:pos="1831"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 If at any time any change in GAAP would affect the computation of any financial ratio or requirement set forth in any Loan Document, and either the Company or (x) in the case of any financial ratio applicable only to a Financial Covenant, the Applicable Rate or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 xml:space="preserve">, the Required Revolving/Term A Lenders and (y) in the case of any other financial ratio, the Required Lenders, shall so request, the Administrative Agent, the applicable Lenders and the Company shall negotiate in good faith to amend such ratio or requirement to preserve the original intent thereof in light of such change in GAAP (subject to the approval of the Required Lenders or Required Revolving/Term A Lenders,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w:t>
      </w:r>
    </w:p>
    <w:p>
      <w:pPr>
        <w:spacing w:after="0" w:line="191" w:lineRule="exact"/>
        <w:rPr>
          <w:sz w:val="20"/>
          <w:szCs w:val="20"/>
          <w:color w:val="auto"/>
        </w:rPr>
      </w:pPr>
    </w:p>
    <w:p>
      <w:pPr>
        <w:jc w:val="both"/>
        <w:ind w:left="660" w:firstLine="644"/>
        <w:spacing w:after="0" w:line="251" w:lineRule="auto"/>
        <w:tabs>
          <w:tab w:leader="none" w:pos="1829"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may at any time elect to apply IFRS accounting principles in lieu of GAAP, but prior to any such change shall notify the Administrative Agent of any intended change to the manner in which any financial statements shall be prepared. Following such notification, if requested by the Company or the Administrative Agent, the Company and the Administrative Agent shall negotiate in good faith to amend any computation of any financial ratio or requirement set forth in any Loan Document to preserve the original intent thereof in light of such change from GAAP to IFRS. Unless the Required Lenders shall have objected to such required amendments within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0" w:name="page91"/>
    <w:bookmarkEnd w:id="90"/>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Business Days after the Lenders shall have been notified thereof by the Administrative Agent (it being agreed that the Administrative Agent shall give such notice promptly via the Approved Electronic Platform after reaching agreement with the Company with respect to such required amendments), such amendments shall become effective and shall be binding on all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(i) each such ratio or requirement shall continue to be computed in accordance with GAAP and (ii) the Company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to IFRS.</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Section 1.04 </w:t>
      </w:r>
      <w:r>
        <w:rPr>
          <w:rFonts w:ascii="Times New Roman" w:cs="Times New Roman" w:eastAsia="Times New Roman" w:hAnsi="Times New Roman"/>
          <w:sz w:val="22"/>
          <w:szCs w:val="22"/>
          <w:color w:val="000000"/>
        </w:rPr>
        <w:t>Rounding. Any financial ratios required to be maintained by the Company pursuant to this Credit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-528320</wp:posOffset>
            </wp:positionV>
            <wp:extent cx="703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010000"/>
        </w:rPr>
        <w:t xml:space="preserve">Section 1.05 </w:t>
      </w:r>
      <w:r>
        <w:rPr>
          <w:rFonts w:ascii="Times New Roman" w:cs="Times New Roman" w:eastAsia="Times New Roman" w:hAnsi="Times New Roman"/>
          <w:sz w:val="22"/>
          <w:szCs w:val="22"/>
          <w:color w:val="000000"/>
        </w:rPr>
        <w:t>Times of Day. Unless otherwise specified, all references herein to times of day shall be references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Eastern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-193675</wp:posOffset>
            </wp:positionV>
            <wp:extent cx="918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1.06 </w:t>
      </w:r>
      <w:r>
        <w:rPr>
          <w:rFonts w:ascii="Times New Roman" w:cs="Times New Roman" w:eastAsia="Times New Roman" w:hAnsi="Times New Roman"/>
          <w:sz w:val="22"/>
          <w:szCs w:val="22"/>
          <w:color w:val="000000"/>
        </w:rPr>
        <w:t>Letter of Credit Amounts. Unless otherwise specified herein, the amount of a Letter of Credit at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time shall be deemed to be the stated amount of such Letter of Credit in effect at such time;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-852805</wp:posOffset>
            </wp:positionV>
            <wp:extent cx="15278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1.07 </w:t>
      </w:r>
      <w:r>
        <w:rPr>
          <w:rFonts w:ascii="Times New Roman" w:cs="Times New Roman" w:eastAsia="Times New Roman" w:hAnsi="Times New Roman"/>
          <w:sz w:val="22"/>
          <w:szCs w:val="22"/>
          <w:color w:val="000000"/>
        </w:rPr>
        <w:t>Currency Equivalents and Calculations Generally. (a) Any amount specified in this Credit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(other than in </w:t>
      </w:r>
      <w:r>
        <w:rPr>
          <w:rFonts w:ascii="Times New Roman" w:cs="Times New Roman" w:eastAsia="Times New Roman" w:hAnsi="Times New Roman"/>
          <w:sz w:val="22"/>
          <w:szCs w:val="22"/>
          <w:u w:val="single" w:color="auto"/>
          <w:color w:val="000000"/>
        </w:rPr>
        <w:t>Articles II</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IV</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IX</w:t>
      </w:r>
      <w:r>
        <w:rPr>
          <w:rFonts w:ascii="Times New Roman" w:cs="Times New Roman" w:eastAsia="Times New Roman" w:hAnsi="Times New Roman"/>
          <w:sz w:val="22"/>
          <w:szCs w:val="22"/>
          <w:color w:val="000000"/>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22"/>
          <w:szCs w:val="22"/>
          <w:u w:val="single" w:color="auto"/>
          <w:color w:val="000000"/>
        </w:rPr>
        <w:t>Section 1.07</w:t>
      </w:r>
      <w:r>
        <w:rPr>
          <w:rFonts w:ascii="Times New Roman" w:cs="Times New Roman" w:eastAsia="Times New Roman" w:hAnsi="Times New Roman"/>
          <w:sz w:val="22"/>
          <w:szCs w:val="22"/>
          <w:color w:val="000000"/>
        </w:rPr>
        <w:t>, the “</w:t>
      </w:r>
      <w:r>
        <w:rPr>
          <w:rFonts w:ascii="Times New Roman" w:cs="Times New Roman" w:eastAsia="Times New Roman" w:hAnsi="Times New Roman"/>
          <w:sz w:val="22"/>
          <w:szCs w:val="22"/>
          <w:u w:val="single" w:color="auto"/>
          <w:color w:val="000000"/>
        </w:rPr>
        <w:t>Spot Rate</w:t>
      </w:r>
      <w:r>
        <w:rPr>
          <w:rFonts w:ascii="Times New Roman" w:cs="Times New Roman" w:eastAsia="Times New Roman" w:hAnsi="Times New Roman"/>
          <w:sz w:val="22"/>
          <w:szCs w:val="22"/>
          <w:color w:val="000000"/>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-1508760</wp:posOffset>
            </wp:positionV>
            <wp:extent cx="3131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jc w:val="both"/>
        <w:ind w:firstLine="1304"/>
        <w:spacing w:after="0" w:line="260" w:lineRule="auto"/>
        <w:tabs>
          <w:tab w:leader="none" w:pos="1848"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herein, (x) with respect to any amounts incurred or transactions entered into (or consummated) in reliance on a provision of any Loan Document that does not require compliance with a financial ratio or test (including, without limitation, pro forma compliance with the Financial Covenants, any Cashflow Ratio test and/or any Senior Secured Leverage Ratio test) (such provision, a “</w:t>
      </w:r>
      <w:r>
        <w:rPr>
          <w:rFonts w:ascii="Times New Roman" w:cs="Times New Roman" w:eastAsia="Times New Roman" w:hAnsi="Times New Roman"/>
          <w:sz w:val="21"/>
          <w:szCs w:val="21"/>
          <w:u w:val="single" w:color="auto"/>
          <w:color w:val="auto"/>
        </w:rPr>
        <w:t>Fixed Amount Basket</w:t>
      </w:r>
      <w:r>
        <w:rPr>
          <w:rFonts w:ascii="Times New Roman" w:cs="Times New Roman" w:eastAsia="Times New Roman" w:hAnsi="Times New Roman"/>
          <w:sz w:val="21"/>
          <w:szCs w:val="21"/>
          <w:color w:val="auto"/>
        </w:rPr>
        <w:t>” and any such amount incurred or transaction entered into (or consummated) in reliance on such provision, the “</w:t>
      </w:r>
      <w:r>
        <w:rPr>
          <w:rFonts w:ascii="Times New Roman" w:cs="Times New Roman" w:eastAsia="Times New Roman" w:hAnsi="Times New Roman"/>
          <w:sz w:val="21"/>
          <w:szCs w:val="21"/>
          <w:u w:val="single" w:color="auto"/>
          <w:color w:val="auto"/>
        </w:rPr>
        <w:t>Fixed Amount</w:t>
      </w:r>
      <w:r>
        <w:rPr>
          <w:rFonts w:ascii="Times New Roman" w:cs="Times New Roman" w:eastAsia="Times New Roman" w:hAnsi="Times New Roman"/>
          <w:sz w:val="21"/>
          <w:szCs w:val="21"/>
          <w:color w:val="auto"/>
        </w:rPr>
        <w:t>”) substantially concurrently with any amounts incurred or transactions entered into (or consummated) in reliance on a provision of any Loan Document that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1" w:name="page92"/>
    <w:bookmarkEnd w:id="91"/>
    <w:p>
      <w:pPr>
        <w:jc w:val="both"/>
        <w:spacing w:after="0" w:line="247" w:lineRule="auto"/>
        <w:rPr>
          <w:sz w:val="20"/>
          <w:szCs w:val="20"/>
          <w:color w:val="auto"/>
        </w:rPr>
      </w:pPr>
      <w:r>
        <w:rPr>
          <w:rFonts w:ascii="Times New Roman" w:cs="Times New Roman" w:eastAsia="Times New Roman" w:hAnsi="Times New Roman"/>
          <w:sz w:val="22"/>
          <w:szCs w:val="22"/>
          <w:color w:val="auto"/>
        </w:rPr>
        <w:t>compliance with any such financial ratio or test (such provision, an “</w:t>
      </w:r>
      <w:r>
        <w:rPr>
          <w:rFonts w:ascii="Times New Roman" w:cs="Times New Roman" w:eastAsia="Times New Roman" w:hAnsi="Times New Roman"/>
          <w:sz w:val="22"/>
          <w:szCs w:val="22"/>
          <w:u w:val="single" w:color="auto"/>
          <w:color w:val="auto"/>
        </w:rPr>
        <w:t>Incurrence Based Basket</w:t>
      </w:r>
      <w:r>
        <w:rPr>
          <w:rFonts w:ascii="Times New Roman" w:cs="Times New Roman" w:eastAsia="Times New Roman" w:hAnsi="Times New Roman"/>
          <w:sz w:val="22"/>
          <w:szCs w:val="22"/>
          <w:color w:val="auto"/>
        </w:rPr>
        <w:t>” and any such amount incurred or transaction entered into (or consummated) in reliance on such provision, the “</w:t>
      </w:r>
      <w:r>
        <w:rPr>
          <w:rFonts w:ascii="Times New Roman" w:cs="Times New Roman" w:eastAsia="Times New Roman" w:hAnsi="Times New Roman"/>
          <w:sz w:val="22"/>
          <w:szCs w:val="22"/>
          <w:u w:val="single" w:color="auto"/>
          <w:color w:val="auto"/>
        </w:rPr>
        <w:t>Incurrence Based Amounts</w:t>
      </w:r>
      <w:r>
        <w:rPr>
          <w:rFonts w:ascii="Times New Roman" w:cs="Times New Roman" w:eastAsia="Times New Roman" w:hAnsi="Times New Roman"/>
          <w:sz w:val="22"/>
          <w:szCs w:val="22"/>
          <w:color w:val="auto"/>
        </w:rPr>
        <w:t xml:space="preserve">”), it is understood and agreed that, for purposes of this Credit Agreement, the Fixed Amounts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and (y) the Borrower may elect to utilize Incurrence Based Baskets prior to, and regardless of whether capacity exists under, any Fixed Amount Basket (including in any concurrent usage of both Incurrence Based Baskets and Fixed Amount Baskets) and if the Borrower does not make an election with respect to whether it is utilizing a Fixed Amount Basket or an Incurrence Based Basket, the Borrower shall be deemed to have elected to utilize the Incurrence Based Basket. Notwithstanding anything to the contrary herein, with respect to any amounts incurred as or transactions entered into (or consummated) in reliance on a Fixed Amount or an Incurrence Based Amount, the Borrower may, at any time and from time to time, elect to re-classify all or any portion of such amount incurred or transactions entered into (or consummated) as either incurred or entered into or consummated under a Fixed Amount Basket (and as such would be re-classified as a Fixed Amount) or an Incurrence Based Basket (and as such would be re-classified as an Incurrence Based Amount) so long as such amount incurred or transaction entered into or consummated meets the applicable criteria at the time of re-classification (regardless of whether it met such criteria at the time of incurrence or entry or consummation).</w:t>
      </w:r>
    </w:p>
    <w:p>
      <w:pPr>
        <w:spacing w:after="0" w:line="19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010000"/>
        </w:rPr>
        <w:t xml:space="preserve">Section 1.08 </w:t>
      </w:r>
      <w:r>
        <w:rPr>
          <w:rFonts w:ascii="Times New Roman" w:cs="Times New Roman" w:eastAsia="Times New Roman" w:hAnsi="Times New Roman"/>
          <w:sz w:val="21"/>
          <w:szCs w:val="21"/>
          <w:color w:val="000000"/>
        </w:rPr>
        <w:t>Interest Rates; SOFR Notification. The Administrative Agent does not warrant or accept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responsibility for, and shall not have any liability with respect to (a) the continuation of, administration of, submission of, calculation of or any other matter related to the Base Rate, the Term SOFR Reference Rate or Adjusted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or any other Benchmark prior to its discontinuance or unavailability, or (b) the effect, implementation or composition of any Benchmark Replacement Conforming Changes. The Administrative Agent and its respective Affiliates or other related entities may engage in transactions that affect the calculation of the Base Rate, the Term SOFR Reference Rate, Adjusted Term SOFR, any alternative, successor or replacement rate (including any Benchmark Replacement) or any relevant adjustments thereto, in each case, in a manner adverse to the Administrative Borrower. The Administrative Agent may select information sources or services in its reasonable discretion to ascertain the Base Rate, the Term SOFR Reference Rate, Adjusted Term SOFR or any other Benchmark,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-2666365</wp:posOffset>
            </wp:positionV>
            <wp:extent cx="22745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74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2" w:name="page93"/>
    <w:bookmarkEnd w:id="92"/>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The Administrative Agent shall not be under any obligation (i) to monitor, determine or verify the unavailability or cessation of Adjusted Term SOFR (or any other applicable benchmark), or whether or when there has occurred, or to give notice to any other transaction party of the occurrence of any termination date relating to Adjusted Term SOFR, (ii) to select, determine or designate any alternative rate, or other successor or replacement benchmark index, or whether any conditions to the designation of such a rate have been satisfied, (iii) to select, determine or designate any other modifier to any alternative rate or</w:t>
      </w:r>
    </w:p>
    <w:p>
      <w:pPr>
        <w:jc w:val="both"/>
        <w:ind w:firstLine="8"/>
        <w:spacing w:after="0" w:line="246" w:lineRule="auto"/>
        <w:tabs>
          <w:tab w:leader="none" w:pos="4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or what alternative rate changes are necessary or advisable, if any, in connection with any of the foregoing. The Administrative Agent shall not be liable for any inability, failure or delay on its part to perform any of its duties set forth in this Credit Agreement as a result of the unavailability of Adjusted Term SOFR (or any other applicable benchmark) and absence of a designated replacement benchmark. The Administrative Agent does not warrant or accept any responsibility for, and shall not have any liability with respect to, the administration, submission or any other matter related to any alternate replacement index to Adjusted Term SOFR, including without limitation, whether the composition or characteristics of any such alternate replacement index to Adjusted Term SOFR will be similar to, or produce the same value or economic equivalence of, Adjusted Term SOFR or have the same volume or liquidity as did Adjusted Term SOFR prior to its discontinuance or unavailability.</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1.09 </w:t>
      </w:r>
      <w:r>
        <w:rPr>
          <w:rFonts w:ascii="Times New Roman" w:cs="Times New Roman" w:eastAsia="Times New Roman" w:hAnsi="Times New Roman"/>
          <w:sz w:val="22"/>
          <w:szCs w:val="22"/>
          <w:color w:val="000000"/>
        </w:rPr>
        <w:t>Divisions. For all purposes under the Loan Documents, in connection with any division or plan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division under the laws of the State of Delaware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-853440</wp:posOffset>
            </wp:positionV>
            <wp:extent cx="714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1.10 </w:t>
      </w:r>
      <w:r>
        <w:rPr>
          <w:rFonts w:ascii="Times New Roman" w:cs="Times New Roman" w:eastAsia="Times New Roman" w:hAnsi="Times New Roman"/>
          <w:sz w:val="22"/>
          <w:szCs w:val="22"/>
          <w:color w:val="000000"/>
        </w:rPr>
        <w:t>Cashless Roll. Notwithstanding anything to the contrary contained in this Credit Agreement, if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agreed by the Borrower, any Lender may exchange, continue or rollover all or a portion of its Loans in connection with any refinancing, extension, loan modification or similar transaction permitted by the terms of this Credit Agreement, pursuant to a cashless settlement mechanism approved by the Borrower, the Administrative Agent and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-527050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-29210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COMMITMENTS AND CREDIT EXTENSIONS</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2.01 </w:t>
      </w:r>
      <w:r>
        <w:rPr>
          <w:rFonts w:ascii="Times New Roman" w:cs="Times New Roman" w:eastAsia="Times New Roman" w:hAnsi="Times New Roman"/>
          <w:sz w:val="22"/>
          <w:szCs w:val="22"/>
          <w:color w:val="000000"/>
        </w:rPr>
        <w:t>The Loans. (b)</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The Term A Borrowings</w:t>
      </w:r>
      <w:r>
        <w:rPr>
          <w:rFonts w:ascii="Times New Roman" w:cs="Times New Roman" w:eastAsia="Times New Roman" w:hAnsi="Times New Roman"/>
          <w:sz w:val="22"/>
          <w:szCs w:val="22"/>
          <w:color w:val="000000"/>
        </w:rPr>
        <w:t>. Subject to the terms and conditions set forth herein,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Term A Lender severally agrees to make a single loan to the Borrower in Dollars on the Closing Date in an amount not to exceed such Term A Lender’s Term A Commitment and in an aggregate amount for all Term A Lenders not to exceed the aggregate amount of the Term A Commitments. Each Term A Borrowing shall consist of Term A Loans made simultaneously by the Term A Lenders in accordance with their respective Applicable Percentage of the Term A Facility. Amounts borrowed under this </w:t>
      </w:r>
      <w:r>
        <w:rPr>
          <w:rFonts w:ascii="Times New Roman" w:cs="Times New Roman" w:eastAsia="Times New Roman" w:hAnsi="Times New Roman"/>
          <w:sz w:val="22"/>
          <w:szCs w:val="22"/>
          <w:u w:val="single" w:color="auto"/>
          <w:color w:val="000000"/>
        </w:rPr>
        <w:t>Section 2.01(a)</w:t>
      </w:r>
      <w:r>
        <w:rPr>
          <w:rFonts w:ascii="Times New Roman" w:cs="Times New Roman" w:eastAsia="Times New Roman" w:hAnsi="Times New Roman"/>
          <w:sz w:val="22"/>
          <w:szCs w:val="22"/>
          <w:color w:val="000000"/>
        </w:rPr>
        <w:t xml:space="preserve"> and repaid or prepaid may not be reborrowed. Term A Loans may be Base Rate Loans or SOFR Loans,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-1024890</wp:posOffset>
            </wp:positionV>
            <wp:extent cx="742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3" w:name="page94"/>
    <w:bookmarkEnd w:id="93"/>
    <w:p>
      <w:pPr>
        <w:jc w:val="both"/>
        <w:ind w:firstLine="1304"/>
        <w:spacing w:after="0" w:line="261" w:lineRule="auto"/>
        <w:tabs>
          <w:tab w:leader="none" w:pos="1872"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The Revolving Credit Borrowings</w:t>
      </w:r>
      <w:r>
        <w:rPr>
          <w:rFonts w:ascii="Times New Roman" w:cs="Times New Roman" w:eastAsia="Times New Roman" w:hAnsi="Times New Roman"/>
          <w:sz w:val="21"/>
          <w:szCs w:val="21"/>
          <w:color w:val="auto"/>
        </w:rPr>
        <w:t xml:space="preserve">. Subject to the terms and conditions set forth herein, each Revolving Credit Lender severally agrees to make loans </w:t>
      </w:r>
      <w:r>
        <w:rPr>
          <w:rFonts w:ascii="Times New Roman" w:cs="Times New Roman" w:eastAsia="Times New Roman" w:hAnsi="Times New Roman"/>
          <w:sz w:val="21"/>
          <w:szCs w:val="21"/>
          <w:color w:val="FF0000"/>
          <w:strike w:val="1"/>
        </w:rPr>
        <w:t>(each such loan, a “</w:t>
      </w:r>
      <w:r>
        <w:rPr>
          <w:rFonts w:ascii="Times New Roman" w:cs="Times New Roman" w:eastAsia="Times New Roman" w:hAnsi="Times New Roman"/>
          <w:sz w:val="21"/>
          <w:szCs w:val="21"/>
          <w:u w:val="single" w:color="auto"/>
          <w:color w:val="FF0000"/>
          <w:strike w:val="1"/>
        </w:rPr>
        <w:t>Revolving Credit Loan</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to the Borrower in Dollars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Revolving Credit Borrowing, (i) the Total Revolving Credit Outstandings </w:t>
      </w:r>
      <w:r>
        <w:rPr>
          <w:rFonts w:ascii="Times New Roman" w:cs="Times New Roman" w:eastAsia="Times New Roman" w:hAnsi="Times New Roman"/>
          <w:sz w:val="21"/>
          <w:szCs w:val="21"/>
          <w:color w:val="FF0000"/>
          <w:strike w:val="1"/>
        </w:rPr>
        <w:t>shall not exceed the</w:t>
      </w:r>
      <w:r>
        <w:rPr>
          <w:rFonts w:ascii="Times New Roman" w:cs="Times New Roman" w:eastAsia="Times New Roman" w:hAnsi="Times New Roman"/>
          <w:sz w:val="21"/>
          <w:szCs w:val="21"/>
          <w:u w:val="single" w:color="auto"/>
          <w:color w:val="0000FF"/>
        </w:rPr>
        <w:t>with respect to any</w:t>
      </w:r>
      <w:r>
        <w:rPr>
          <w:rFonts w:ascii="Times New Roman" w:cs="Times New Roman" w:eastAsia="Times New Roman" w:hAnsi="Times New Roman"/>
          <w:sz w:val="21"/>
          <w:szCs w:val="21"/>
          <w:color w:val="auto"/>
        </w:rPr>
        <w:t xml:space="preserve"> Revolving Credit Facility </w:t>
      </w:r>
      <w:r>
        <w:rPr>
          <w:rFonts w:ascii="Times New Roman" w:cs="Times New Roman" w:eastAsia="Times New Roman" w:hAnsi="Times New Roman"/>
          <w:sz w:val="21"/>
          <w:szCs w:val="21"/>
          <w:color w:val="0000FF"/>
        </w:rPr>
        <w:t>or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Revolving Credit Facilities shall not exceed such Revolving Credit Facility or all Revolving Credit Facilities, as applicable</w:t>
      </w:r>
      <w:r>
        <w:rPr>
          <w:rFonts w:ascii="Times New Roman" w:cs="Times New Roman" w:eastAsia="Times New Roman" w:hAnsi="Times New Roman"/>
          <w:sz w:val="21"/>
          <w:szCs w:val="21"/>
          <w:color w:val="000000"/>
        </w:rPr>
        <w:t>, and</w:t>
      </w:r>
    </w:p>
    <w:p>
      <w:pPr>
        <w:jc w:val="both"/>
        <w:ind w:firstLine="8"/>
        <w:spacing w:after="0" w:line="246" w:lineRule="auto"/>
        <w:tabs>
          <w:tab w:leader="none" w:pos="35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Outstanding Amount of the Revolving Credit Loans of any Lender, plus such Revolving Credit Lender’s Applicable Revolving Credit Percentage of the Outstanding Amount of all L/C Obligations and Swingline Loans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Revolving Credit Loans may be Base Rate Loans or SOFR Loans, as further provided herein.</w:t>
      </w:r>
    </w:p>
    <w:p>
      <w:pPr>
        <w:spacing w:after="0" w:line="18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2"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Swingline Borrowings</w:t>
      </w:r>
      <w:r>
        <w:rPr>
          <w:rFonts w:ascii="Times New Roman" w:cs="Times New Roman" w:eastAsia="Times New Roman" w:hAnsi="Times New Roman"/>
          <w:sz w:val="22"/>
          <w:szCs w:val="22"/>
          <w:color w:val="auto"/>
        </w:rPr>
        <w:t xml:space="preserve">. Subject to the terms and conditions set forth herein, including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the Swingline Lender, in its individual capacity, may in its sole discretion make revolving loans (each a “</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to the Borrower from time to time, on any Business Day during the Availability Period, in an aggregate amount not to exceed at any time outstanding the Swingline Sublimit;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Swingline Borrowing, (i) the Total Revolving Credit Outstandings shall not exceed the Revolving Credit Facility and (ii) the sum of (A) the aggregate Outstanding Amount of the Swingline Loans plus (B) the aggregate Outstanding Amount of the Revolving Credit Loans of the Lender acting as Swingline Lender shall not exceed the Revolving Credit Commitment of such Lender. Amounts borrowed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and repaid or prepaid may be reborrowed in accordance with the provisions 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-2804795</wp:posOffset>
            </wp:positionV>
            <wp:extent cx="345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5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010000"/>
        </w:rPr>
        <w:t xml:space="preserve">Section 2.02 </w:t>
      </w:r>
      <w:r>
        <w:rPr>
          <w:rFonts w:ascii="Times New Roman" w:cs="Times New Roman" w:eastAsia="Times New Roman" w:hAnsi="Times New Roman"/>
          <w:sz w:val="21"/>
          <w:szCs w:val="21"/>
          <w:color w:val="000000"/>
        </w:rPr>
        <w:t>Borrowings, Conversions and Continuations of Loans. (c) Each Term Borrowing, each Revolving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Credit Borrowing, each conversion of Term Loans or Revolving Credit Loans from one Type to the other and each continuation of SOFR Loans shall be made upon the Borrower’s irrevocable notice to the Administrative Agent, which may be given by telephone or electronic transmission. Each such notice must be received by the Administrative Agent not later than 1:00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-517525</wp:posOffset>
            </wp:positionV>
            <wp:extent cx="3162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jc w:val="both"/>
        <w:ind w:firstLine="8"/>
        <w:spacing w:after="0" w:line="247" w:lineRule="auto"/>
        <w:tabs>
          <w:tab w:leader="none" w:pos="26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three Business Days prior to the requested date of any Borrowing of, conversion to or continuation of SOFR Loans or of any conversion of SOFR Loans to Base Rate Loans and (ii) on the requested date of any Borrowing of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notice of (x) the initial Borrowing of Base Rate Loans may be received by the Administrative Agent not later than 3:00 p.m. on the Closing Date and (y) any conversion of such initial Borrowing to SOFR Loans may be received by the Administrative Agent no later than 5:00 p.m. on the third Business Day prior to the requested date of conversion. Each notice by the Borrower pursuant to this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must be confirmed promptly by delivery to the Administrative Agent of a written Committed Loan Notice by facsimile or electronic transmission, appropriately completed and signed by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4" w:name="page95"/>
    <w:bookmarkEnd w:id="9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Borrower. In the case of any discrepancies between a telephone notice or electronic transmission given pursuant to the first sentence of this Section 2.02(a) and the written Committed Loan Notice confirming such telephone notice or electronic transmission and delivered pursuant to the immediately preceding sentence, the telephone notice or electronic transmission shall be effective as understood in good faith by the Administrative Agent. Each Borrowing of, conversion to or continuation of SOFR Loans shall be in a principal amount of $1,000,000 or a whole multiple of $500,000 in excess thereof. Except as provided in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each Borrowing of or conversion to Base Rate Loans shall be in a principal amount of $500,000 or a whole multiple of $100,000 in excess thereof. Each Committed Loan Notice (whether given by telephone, electronic transmission or in writing) shall specify (i) whether the Borrower is requesting a Term A Borrowing, a Revolving Credit Borrowing or an Incremental Term Borrowing, if available, a conversion of Term Loans or Revolving Credit Loans from one Type to the other or a continuation of SOFR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SOFR Loans. If the Borrower requests a Borrowing of, conversion to, or continuation of SOFR Loans in any such Committed Loan Notice, but fails to specify an Interest Period, it will be deemed to have specified an Interest Period of one month.</w:t>
      </w:r>
    </w:p>
    <w:p>
      <w:pPr>
        <w:spacing w:after="0" w:line="251" w:lineRule="exact"/>
        <w:rPr>
          <w:sz w:val="20"/>
          <w:szCs w:val="20"/>
          <w:color w:val="auto"/>
        </w:rPr>
      </w:pPr>
    </w:p>
    <w:p>
      <w:pPr>
        <w:jc w:val="both"/>
        <w:ind w:firstLine="1304"/>
        <w:spacing w:after="0" w:line="246" w:lineRule="auto"/>
        <w:tabs>
          <w:tab w:leader="none" w:pos="1774"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Following receipt of a Committed Loan Notice or a request or a deemed request by the Swingline Lender for repayment of any outstanding Swingline Loans under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the Administrative Agent shall promptly notify each Lender of the amount of its Applicable Percentage under the applicable Facility of the applicable Non-Extended Term A Loans, Extended Term A Loans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Revolving Credit Loans or Incremental Term Loans, if any,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(i) one hour after receipt of notice from the Administrative Agent on the Closing Date in the case of the initial Borrowing of Base Rate Loans (as long as such notice is received prior to 3:00 p.m. on such day) or (ii) 3:00 p.m. on the Business Day specified in the applicable Committed Loan Notice. Upon satisfaction of the applicable conditions set forth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(and, (x) if such Borrowing is the initial Credit Extension,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and (y) if such Borrowing is the Incremental Term Borrowing, the applicable conditions set forth in the Incremental Term Supplement), the Administrative Agent shall make all funds so received available to the Borrower in like funds as received by the Administrative Agent either by (i) crediting the account of the Borrower on the books of JPMCB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on the date a Committed Loan Notice with respect to a Revolving Credit Borrowing is given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5" w:name="page96"/>
    <w:bookmarkEnd w:id="95"/>
    <w:p>
      <w:pPr>
        <w:jc w:val="both"/>
        <w:spacing w:after="0" w:line="257" w:lineRule="auto"/>
        <w:rPr>
          <w:sz w:val="20"/>
          <w:szCs w:val="20"/>
          <w:color w:val="auto"/>
        </w:rPr>
      </w:pPr>
      <w:r>
        <w:rPr>
          <w:rFonts w:ascii="Times New Roman" w:cs="Times New Roman" w:eastAsia="Times New Roman" w:hAnsi="Times New Roman"/>
          <w:sz w:val="22"/>
          <w:szCs w:val="22"/>
          <w:color w:val="auto"/>
        </w:rPr>
        <w:t>the Borrower, there are L/C Borrowings outstanding, then the proceeds of such Revolving Credit Borrowing, first, shall be applied to the payment in full of any such L/C Borrowings, and second, shall be made available to the Borrower as provided above.</w:t>
      </w:r>
    </w:p>
    <w:p>
      <w:pPr>
        <w:spacing w:after="0" w:line="173" w:lineRule="exact"/>
        <w:rPr>
          <w:sz w:val="20"/>
          <w:szCs w:val="20"/>
          <w:color w:val="auto"/>
        </w:rPr>
      </w:pPr>
    </w:p>
    <w:p>
      <w:pPr>
        <w:jc w:val="both"/>
        <w:ind w:firstLine="1304"/>
        <w:spacing w:after="0" w:line="272" w:lineRule="auto"/>
        <w:tabs>
          <w:tab w:leader="none" w:pos="1763"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otherwise provided herein, a SOFR Loan may be continued or converted only on the last day of an Interest Period for such SOFR Loan. During the existence of a Default, the Administrative Agent may notify the Borrower that Loans may only be converted into or continued as Loans of certain specified Types and, thereafter, until no Default shall continue to exist, Loans may not be converted into or continued as Loans of any Type other than one or more of such specified Types.</w:t>
      </w:r>
    </w:p>
    <w:p>
      <w:pPr>
        <w:spacing w:after="0" w:line="160"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783"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 shall promptly notify the Company and the Lenders of the interest rate applicable to any Interest Period for SOFR Loans upon determination of such interest rate. At any time that Base Rate Loans are outstanding, the Administrative Agent shall notify the Company and the Lenders of any change in JPMCB’s prime rate used in determining the Base Rate promptly following the public announcement of such change.</w:t>
      </w:r>
    </w:p>
    <w:p>
      <w:pPr>
        <w:spacing w:after="0" w:line="176"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746"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After giving effect to all Borrowings of Non-Extended Term A Borrowings, all conversions of Non-Extended Term A Loans from one Type to the other, and all continuations of Non-Extended Term A Loans as the same Type, there shall not be more than 12 Interest Periods in effect in respect of the Non-Extended Term A Facility. After giving effect to all Borrowings of Extended Term A Borrowings, all conversions of Extended Term A Loans from one Type to the other, and all continuations of Extended Term A Loans as the same Type, there shall not be more than 12 Interest Periods in effect in respect of the Extended Term A Facility. After giving effect to all Revolving Credit Borrowings, all conversions of Revolving Credit Loans from one Type to the other, and all continuations of Revolving Credit Loans as the same Type, there shall not be more than 12 Interest Periods in effect in respect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any</w:t>
      </w:r>
      <w:r>
        <w:rPr>
          <w:rFonts w:ascii="Times New Roman" w:cs="Times New Roman" w:eastAsia="Times New Roman" w:hAnsi="Times New Roman"/>
          <w:sz w:val="22"/>
          <w:szCs w:val="22"/>
          <w:color w:val="auto"/>
        </w:rPr>
        <w:t xml:space="preserve"> Revolving Credit Facility.</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2.03</w:t>
      </w:r>
      <w:r>
        <w:rPr>
          <w:sz w:val="20"/>
          <w:szCs w:val="20"/>
          <w:color w:val="auto"/>
        </w:rPr>
        <w:tab/>
      </w:r>
      <w:r>
        <w:rPr>
          <w:rFonts w:ascii="Times New Roman" w:cs="Times New Roman" w:eastAsia="Times New Roman" w:hAnsi="Times New Roman"/>
          <w:sz w:val="21"/>
          <w:szCs w:val="21"/>
          <w:color w:val="auto"/>
        </w:rPr>
        <w:t xml:space="preserve">Letters of Credit. (d) </w:t>
      </w:r>
      <w:r>
        <w:rPr>
          <w:rFonts w:ascii="Times New Roman" w:cs="Times New Roman" w:eastAsia="Times New Roman" w:hAnsi="Times New Roman"/>
          <w:sz w:val="21"/>
          <w:szCs w:val="21"/>
          <w:u w:val="single" w:color="auto"/>
          <w:color w:val="auto"/>
        </w:rPr>
        <w:t>The Letter of Credit Commitment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043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8" w:lineRule="exact"/>
        <w:rPr>
          <w:sz w:val="20"/>
          <w:szCs w:val="20"/>
          <w:color w:val="auto"/>
        </w:rPr>
      </w:pPr>
    </w:p>
    <w:p>
      <w:pPr>
        <w:jc w:val="both"/>
        <w:ind w:firstLine="8"/>
        <w:spacing w:after="0" w:line="246" w:lineRule="auto"/>
        <w:tabs>
          <w:tab w:leader="none" w:pos="2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 each L/C Issuer agrees, in reliance upon the agreements of the Revolving Credit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(1) from time to time on any Business Day during the period from the Closing Date until the Letter of Credit Expiration Date, to issue Letters of Credit for the account of the Borrower or its Subsidiaries, and to amend Letters of Credit previously issued by it, in accordance with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L/C Credit Extension with respect to any Letter of Credit, (x) the Total Revolving Credit Outstandings </w:t>
      </w:r>
      <w:r>
        <w:rPr>
          <w:rFonts w:ascii="Times New Roman" w:cs="Times New Roman" w:eastAsia="Times New Roman" w:hAnsi="Times New Roman"/>
          <w:sz w:val="22"/>
          <w:szCs w:val="22"/>
          <w:color w:val="FF0000"/>
          <w:strike w:val="1"/>
        </w:rPr>
        <w:t>shall not exceed the</w:t>
      </w:r>
      <w:r>
        <w:rPr>
          <w:rFonts w:ascii="Times New Roman" w:cs="Times New Roman" w:eastAsia="Times New Roman" w:hAnsi="Times New Roman"/>
          <w:sz w:val="22"/>
          <w:szCs w:val="22"/>
          <w:u w:val="single" w:color="auto"/>
          <w:color w:val="0000FF"/>
        </w:rPr>
        <w:t>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respect to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Revolving Credit Facility</w:t>
      </w:r>
      <w:r>
        <w:rPr>
          <w:rFonts w:ascii="Times New Roman" w:cs="Times New Roman" w:eastAsia="Times New Roman" w:hAnsi="Times New Roman"/>
          <w:sz w:val="22"/>
          <w:szCs w:val="22"/>
          <w:color w:val="0000FF"/>
        </w:rPr>
        <w:t xml:space="preserve"> or all Revolving Credit Facilities shall not exceed such Revolving Credit Facility or all </w:t>
      </w:r>
      <w:r>
        <w:rPr>
          <w:rFonts w:ascii="Times New Roman" w:cs="Times New Roman" w:eastAsia="Times New Roman" w:hAnsi="Times New Roman"/>
          <w:sz w:val="22"/>
          <w:szCs w:val="22"/>
          <w:u w:val="single" w:color="auto"/>
          <w:color w:val="0000FF"/>
        </w:rPr>
        <w:t>Revolving Credit Facilities, as applicable</w:t>
      </w:r>
      <w:r>
        <w:rPr>
          <w:rFonts w:ascii="Times New Roman" w:cs="Times New Roman" w:eastAsia="Times New Roman" w:hAnsi="Times New Roman"/>
          <w:sz w:val="22"/>
          <w:szCs w:val="22"/>
          <w:color w:val="000000"/>
        </w:rPr>
        <w:t>, (y) the aggregate Outstanding Amount of the Revolving Credit Loans of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Revolving Credit Lender, plus such Lender’s Applicable Revolving Credit Percentage of the Outstanding Amount of all L/C Obligations shall not exceed such Lender’s Revolving Credit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-1016635</wp:posOffset>
            </wp:positionV>
            <wp:extent cx="4902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02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2"/>
          <w:szCs w:val="22"/>
          <w:color w:val="auto"/>
        </w:rPr>
        <w:t>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ind w:left="1780" w:hanging="476"/>
        <w:spacing w:after="0"/>
        <w:tabs>
          <w:tab w:leader="none" w:pos="178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L/C Issuer shall issue any Letter of Credit if:</w:t>
      </w:r>
    </w:p>
    <w:p>
      <w:pPr>
        <w:spacing w:after="0" w:line="209" w:lineRule="exact"/>
        <w:rPr>
          <w:rFonts w:ascii="Times New Roman" w:cs="Times New Roman" w:eastAsia="Times New Roman" w:hAnsi="Times New Roman"/>
          <w:sz w:val="22"/>
          <w:szCs w:val="22"/>
          <w:color w:val="010000"/>
        </w:rPr>
      </w:pPr>
    </w:p>
    <w:p>
      <w:pPr>
        <w:ind w:left="1300" w:firstLine="1300"/>
        <w:spacing w:after="0" w:line="271" w:lineRule="auto"/>
        <w:tabs>
          <w:tab w:leader="none" w:pos="3123"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expiry date of such requested Letter of Credit would occur more than twelve months after the date of issuance, unless the Required Revolving Lenders have approved such expiry date;</w:t>
      </w:r>
    </w:p>
    <w:p>
      <w:pPr>
        <w:spacing w:after="0" w:line="157" w:lineRule="exact"/>
        <w:rPr>
          <w:rFonts w:ascii="Times New Roman" w:cs="Times New Roman" w:eastAsia="Times New Roman" w:hAnsi="Times New Roman"/>
          <w:sz w:val="22"/>
          <w:szCs w:val="22"/>
          <w:color w:val="010000"/>
        </w:rPr>
      </w:pPr>
    </w:p>
    <w:p>
      <w:pPr>
        <w:ind w:left="1300" w:firstLine="1300"/>
        <w:spacing w:after="0" w:line="271" w:lineRule="auto"/>
        <w:tabs>
          <w:tab w:leader="none" w:pos="3225"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expiry date of such requested Letter of Credit would occur after the Letter of Credit Expiration Date, unless all the Revolving Credit Lenders have approved such expiry date; or</w:t>
      </w:r>
    </w:p>
    <w:p>
      <w:pPr>
        <w:spacing w:after="0" w:line="157" w:lineRule="exact"/>
        <w:rPr>
          <w:rFonts w:ascii="Times New Roman" w:cs="Times New Roman" w:eastAsia="Times New Roman" w:hAnsi="Times New Roman"/>
          <w:sz w:val="22"/>
          <w:szCs w:val="22"/>
          <w:color w:val="010000"/>
        </w:rPr>
      </w:pPr>
    </w:p>
    <w:p>
      <w:pPr>
        <w:ind w:left="3100" w:hanging="500"/>
        <w:spacing w:after="0"/>
        <w:tabs>
          <w:tab w:leader="none" w:pos="310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Letter of Credit is to be denominated in a currency other than Dollars.</w:t>
      </w:r>
    </w:p>
    <w:p>
      <w:pPr>
        <w:spacing w:after="0" w:line="233" w:lineRule="exact"/>
        <w:rPr>
          <w:rFonts w:ascii="Times New Roman" w:cs="Times New Roman" w:eastAsia="Times New Roman" w:hAnsi="Times New Roman"/>
          <w:sz w:val="22"/>
          <w:szCs w:val="22"/>
          <w:color w:val="010000"/>
        </w:rPr>
      </w:pPr>
    </w:p>
    <w:p>
      <w:pPr>
        <w:ind w:left="1840" w:hanging="536"/>
        <w:spacing w:after="0"/>
        <w:tabs>
          <w:tab w:leader="none" w:pos="184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L/C Issuer shall be under any obligation to issue any Letter of Credit if:</w:t>
      </w:r>
    </w:p>
    <w:p>
      <w:pPr>
        <w:spacing w:after="0" w:line="219" w:lineRule="exact"/>
        <w:rPr>
          <w:rFonts w:ascii="Times New Roman" w:cs="Times New Roman" w:eastAsia="Times New Roman" w:hAnsi="Times New Roman"/>
          <w:sz w:val="22"/>
          <w:szCs w:val="22"/>
          <w:color w:val="010000"/>
        </w:rPr>
      </w:pPr>
    </w:p>
    <w:p>
      <w:pPr>
        <w:jc w:val="both"/>
        <w:ind w:left="1300" w:firstLine="1300"/>
        <w:spacing w:after="0" w:line="248" w:lineRule="auto"/>
        <w:tabs>
          <w:tab w:leader="none" w:pos="3142"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5" w:lineRule="exact"/>
        <w:rPr>
          <w:rFonts w:ascii="Times New Roman" w:cs="Times New Roman" w:eastAsia="Times New Roman" w:hAnsi="Times New Roman"/>
          <w:sz w:val="22"/>
          <w:szCs w:val="22"/>
          <w:color w:val="010000"/>
        </w:rPr>
      </w:pPr>
    </w:p>
    <w:p>
      <w:pPr>
        <w:ind w:left="1300" w:firstLine="1300"/>
        <w:spacing w:after="0" w:line="284" w:lineRule="auto"/>
        <w:tabs>
          <w:tab w:leader="none" w:pos="3159"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issuance of such Letter of Credit would violate one or more policies of such L/C Issuer generally applicable to the issuance of letters of credit;</w:t>
      </w:r>
    </w:p>
    <w:p>
      <w:pPr>
        <w:spacing w:after="0" w:line="143" w:lineRule="exact"/>
        <w:rPr>
          <w:rFonts w:ascii="Times New Roman" w:cs="Times New Roman" w:eastAsia="Times New Roman" w:hAnsi="Times New Roman"/>
          <w:sz w:val="22"/>
          <w:szCs w:val="22"/>
          <w:color w:val="010000"/>
        </w:rPr>
      </w:pPr>
    </w:p>
    <w:p>
      <w:pPr>
        <w:ind w:left="1300" w:firstLine="1300"/>
        <w:spacing w:after="0" w:line="271" w:lineRule="auto"/>
        <w:tabs>
          <w:tab w:leader="none" w:pos="3148"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agreed by the Administrative Agent and such L/C Issuer, such Letter of Credit is in an initial stated amount less than $100,000;</w:t>
      </w:r>
    </w:p>
    <w:p>
      <w:pPr>
        <w:spacing w:after="0" w:line="157" w:lineRule="exact"/>
        <w:rPr>
          <w:rFonts w:ascii="Times New Roman" w:cs="Times New Roman" w:eastAsia="Times New Roman" w:hAnsi="Times New Roman"/>
          <w:sz w:val="22"/>
          <w:szCs w:val="22"/>
          <w:color w:val="010000"/>
        </w:rPr>
      </w:pPr>
    </w:p>
    <w:p>
      <w:pPr>
        <w:ind w:left="1300" w:firstLine="1300"/>
        <w:spacing w:after="0" w:line="271" w:lineRule="auto"/>
        <w:tabs>
          <w:tab w:leader="none" w:pos="3284"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Letter of Credit contains any provisions for automatic reinstatement of the stated amount after any drawing thereunder;</w:t>
      </w:r>
    </w:p>
    <w:p>
      <w:pPr>
        <w:spacing w:after="0" w:line="171" w:lineRule="exact"/>
        <w:rPr>
          <w:rFonts w:ascii="Times New Roman" w:cs="Times New Roman" w:eastAsia="Times New Roman" w:hAnsi="Times New Roman"/>
          <w:sz w:val="22"/>
          <w:szCs w:val="22"/>
          <w:color w:val="010000"/>
        </w:rPr>
      </w:pPr>
    </w:p>
    <w:p>
      <w:pPr>
        <w:ind w:left="1300" w:firstLine="1300"/>
        <w:spacing w:after="0" w:line="271" w:lineRule="auto"/>
        <w:tabs>
          <w:tab w:leader="none" w:pos="3117"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default of any Lender’s obligations to fund under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exists or any Lender is at such time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7" w:name="page98"/>
    <w:bookmarkEnd w:id="97"/>
    <w:p>
      <w:pPr>
        <w:ind w:left="1300"/>
        <w:spacing w:after="0" w:line="271" w:lineRule="auto"/>
        <w:rPr>
          <w:sz w:val="20"/>
          <w:szCs w:val="20"/>
          <w:color w:val="auto"/>
        </w:rPr>
      </w:pPr>
      <w:r>
        <w:rPr>
          <w:rFonts w:ascii="Times New Roman" w:cs="Times New Roman" w:eastAsia="Times New Roman" w:hAnsi="Times New Roman"/>
          <w:sz w:val="22"/>
          <w:szCs w:val="22"/>
          <w:color w:val="auto"/>
        </w:rPr>
        <w:t>hereunder, unless such L/C Issuer has entered into satisfactory arrangements with the Borrower or such Lender to eliminate such L/C Issuer’s risk with respect to such Lender; or</w:t>
      </w:r>
    </w:p>
    <w:p>
      <w:pPr>
        <w:spacing w:after="0" w:line="158" w:lineRule="exact"/>
        <w:rPr>
          <w:sz w:val="20"/>
          <w:szCs w:val="20"/>
          <w:color w:val="auto"/>
        </w:rPr>
      </w:pPr>
    </w:p>
    <w:p>
      <w:pPr>
        <w:ind w:left="1300" w:firstLine="1300"/>
        <w:spacing w:after="0" w:line="271" w:lineRule="auto"/>
        <w:tabs>
          <w:tab w:leader="none" w:pos="3116" w:val="left"/>
        </w:tabs>
        <w:numPr>
          <w:ilvl w:val="2"/>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giving effect to such issuance, the aggregate face amount of Letters of Credit issued by such L/C Issuer would exceed such L/C Issuer’s L/C Commitment.</w:t>
      </w:r>
    </w:p>
    <w:p>
      <w:pPr>
        <w:spacing w:after="0" w:line="157" w:lineRule="exact"/>
        <w:rPr>
          <w:rFonts w:ascii="Times New Roman" w:cs="Times New Roman" w:eastAsia="Times New Roman" w:hAnsi="Times New Roman"/>
          <w:sz w:val="22"/>
          <w:szCs w:val="22"/>
          <w:color w:val="010000"/>
        </w:rPr>
      </w:pPr>
    </w:p>
    <w:p>
      <w:pPr>
        <w:ind w:left="660" w:right="20" w:firstLine="644"/>
        <w:spacing w:after="0" w:line="284" w:lineRule="auto"/>
        <w:tabs>
          <w:tab w:leader="none" w:pos="1892"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L/C Issuer shall amend any Letter of Credit if such L/C Issuer would not be permitted at such time to issue such Letter of Credit in its amended form under the terms hereof.</w:t>
      </w:r>
    </w:p>
    <w:p>
      <w:pPr>
        <w:spacing w:after="0" w:line="143"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85"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61" w:lineRule="auto"/>
        <w:tabs>
          <w:tab w:leader="none" w:pos="1900"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L/C Issuer shall act on behalf of the Revolving Credit Lenders with respect to any Letters of Credit issued by it and the documents associated therewith, and such L/C Issuer shall have all of the benefits and immunities</w:t>
      </w:r>
    </w:p>
    <w:p>
      <w:pPr>
        <w:jc w:val="both"/>
        <w:ind w:left="660" w:hanging="4"/>
        <w:spacing w:after="0" w:line="245" w:lineRule="auto"/>
        <w:tabs>
          <w:tab w:leader="none" w:pos="102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provided to the Administrative Agent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with respect to any acts taken or omissions suffered by such L/C Issuer in connection with Letters of Credit issued by it or proposed to be issued by it and Issuer Documents pertaining to such Letters of Credit as fully as if the term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as used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included such L/C Issuer with respect to such acts or omissions, and (B) as additionally provided herein with respect to such L/C Issuer.</w:t>
      </w:r>
    </w:p>
    <w:p>
      <w:pPr>
        <w:spacing w:after="0" w:line="185" w:lineRule="exact"/>
        <w:rPr>
          <w:sz w:val="20"/>
          <w:szCs w:val="20"/>
          <w:color w:val="auto"/>
        </w:rPr>
      </w:pPr>
    </w:p>
    <w:p>
      <w:pPr>
        <w:jc w:val="both"/>
        <w:ind w:firstLine="1304"/>
        <w:spacing w:after="0" w:line="260" w:lineRule="auto"/>
        <w:tabs>
          <w:tab w:leader="none" w:pos="1831"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Procedures for Issuance and Amendment of Letters of Credit</w:t>
      </w:r>
      <w:r>
        <w:rPr>
          <w:rFonts w:ascii="Times New Roman" w:cs="Times New Roman" w:eastAsia="Times New Roman" w:hAnsi="Times New Roman"/>
          <w:sz w:val="21"/>
          <w:szCs w:val="21"/>
          <w:color w:val="auto"/>
        </w:rPr>
        <w:t>. (ii) Each Letter of Credit shall be issued or amended, as the case may be, upon the request of the Borrower delivered to the relevant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11:00 a.m. at least three Business Days (or such later date and time as the Administrative Agent and the relevant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require. In the case of a request for an amendment of any outstanding Letter of Credit, such Letter of Credit Application shall specify in form and detail satisfactory to the relevant L/C Issuer (1) the Letter of Credit to be amended; (2) the proposed date of amendment thereof (which shall be a Business Day); (3) the nature of the proposed amendment; and (4) such other matters as the relevant L/C Issuer may require. Additionally, the Borrower shall furnish to the relevant L/C Issuer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8" w:name="page99"/>
    <w:bookmarkEnd w:id="98"/>
    <w:p>
      <w:pPr>
        <w:ind w:right="20"/>
        <w:spacing w:after="0" w:line="271" w:lineRule="auto"/>
        <w:rPr>
          <w:sz w:val="20"/>
          <w:szCs w:val="20"/>
          <w:color w:val="auto"/>
        </w:rPr>
      </w:pPr>
      <w:r>
        <w:rPr>
          <w:rFonts w:ascii="Times New Roman" w:cs="Times New Roman" w:eastAsia="Times New Roman" w:hAnsi="Times New Roman"/>
          <w:sz w:val="22"/>
          <w:szCs w:val="22"/>
          <w:color w:val="auto"/>
        </w:rPr>
        <w:t>Administrative Agent such other documents and information pertaining to such requested Letter of Credit issuance or amendment, including any Issuer Documents, as the relevant L/C Issuer or the Administrative Agent may require.</w:t>
      </w:r>
    </w:p>
    <w:p>
      <w:pPr>
        <w:spacing w:after="0" w:line="158" w:lineRule="exact"/>
        <w:rPr>
          <w:sz w:val="20"/>
          <w:szCs w:val="20"/>
          <w:color w:val="auto"/>
        </w:rPr>
      </w:pPr>
    </w:p>
    <w:p>
      <w:pPr>
        <w:jc w:val="both"/>
        <w:ind w:left="660" w:firstLine="644"/>
        <w:spacing w:after="0" w:line="249" w:lineRule="auto"/>
        <w:tabs>
          <w:tab w:leader="none" w:pos="1927"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Unless the relevant L/C Issuer has received written notice from the Administrative Agent,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not then be satisfied, then, subject to the terms and conditions hereof, the relevant L/C Issuer shall, on the requested date, issue a Letter of Credit for the account of the Borrower (or the applicable Subsidiary) or enter into the applicable amendment, as the case may be, in each case in accordance with the relevant L/C Issuer’s usual and customary business practices.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22"/>
          <w:szCs w:val="22"/>
          <w:u w:val="single" w:color="auto"/>
          <w:color w:val="0000FF"/>
        </w:rPr>
        <w:t>with respect to all Revolving Credit Facilities</w:t>
      </w:r>
      <w:r>
        <w:rPr>
          <w:rFonts w:ascii="Times New Roman" w:cs="Times New Roman" w:eastAsia="Times New Roman" w:hAnsi="Times New Roman"/>
          <w:sz w:val="22"/>
          <w:szCs w:val="22"/>
          <w:color w:val="auto"/>
        </w:rPr>
        <w:t xml:space="preserve"> times the amount of such Letter of Credit.</w:t>
      </w:r>
    </w:p>
    <w:p>
      <w:pPr>
        <w:spacing w:after="0" w:line="183" w:lineRule="exact"/>
        <w:rPr>
          <w:rFonts w:ascii="Times New Roman" w:cs="Times New Roman" w:eastAsia="Times New Roman" w:hAnsi="Times New Roman"/>
          <w:sz w:val="22"/>
          <w:szCs w:val="22"/>
          <w:color w:val="010000"/>
        </w:rPr>
      </w:pPr>
    </w:p>
    <w:p>
      <w:pPr>
        <w:jc w:val="both"/>
        <w:ind w:left="660" w:right="20" w:firstLine="644"/>
        <w:spacing w:after="0" w:line="257" w:lineRule="auto"/>
        <w:tabs>
          <w:tab w:leader="none" w:pos="1921"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 relevant L/C Issuer will also deliver to the Borrower and the Administrative Agent a true and complete copy of such Letter of Credit or amendment.</w:t>
      </w:r>
    </w:p>
    <w:p>
      <w:pPr>
        <w:spacing w:after="0" w:line="173" w:lineRule="exact"/>
        <w:rPr>
          <w:sz w:val="20"/>
          <w:szCs w:val="20"/>
          <w:color w:val="auto"/>
        </w:rPr>
      </w:pPr>
    </w:p>
    <w:p>
      <w:pPr>
        <w:jc w:val="both"/>
        <w:ind w:firstLine="1304"/>
        <w:spacing w:after="0" w:line="261" w:lineRule="auto"/>
        <w:tabs>
          <w:tab w:leader="none" w:pos="1846"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Drawings and Reimbursements; Funding of Participations</w:t>
      </w:r>
      <w:r>
        <w:rPr>
          <w:rFonts w:ascii="Times New Roman" w:cs="Times New Roman" w:eastAsia="Times New Roman" w:hAnsi="Times New Roman"/>
          <w:sz w:val="21"/>
          <w:szCs w:val="21"/>
          <w:color w:val="auto"/>
        </w:rPr>
        <w:t>. (iii) Upon receipt from the beneficiary of any Letter of Credit of any notice of a drawing under such Letter of Credit, the relevant L/C Issuer shall notify the Borrower and the Administrative Agent thereof. Not later than 11:00 a.m. on the date of any payment by an L/C Issuer under a Letter of Credit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the Borrower shall reimburse the relevant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and the amount of such Revolving Credit Lender’s Applicable Revolving Credit Percentage there</w:t>
      </w:r>
      <w:r>
        <w:rPr>
          <w:rFonts w:ascii="Times New Roman" w:cs="Times New Roman" w:eastAsia="Times New Roman" w:hAnsi="Times New Roman"/>
          <w:sz w:val="21"/>
          <w:szCs w:val="21"/>
          <w:u w:val="single" w:color="auto"/>
          <w:color w:val="0000FF"/>
        </w:rPr>
        <w:t>of with respect to all Revolving Credit Faciliti</w:t>
      </w:r>
      <w:r>
        <w:rPr>
          <w:rFonts w:ascii="Times New Roman" w:cs="Times New Roman" w:eastAsia="Times New Roman" w:hAnsi="Times New Roman"/>
          <w:sz w:val="21"/>
          <w:szCs w:val="21"/>
          <w:color w:val="auto"/>
        </w:rPr>
        <w:t xml:space="preserve">es.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Revolving Credit Commitments and the conditions set forth in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may be given by telephone or electronic transmission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71" w:lineRule="exact"/>
        <w:rPr>
          <w:sz w:val="20"/>
          <w:szCs w:val="20"/>
          <w:color w:val="auto"/>
        </w:rPr>
      </w:pPr>
    </w:p>
    <w:p>
      <w:pPr>
        <w:jc w:val="both"/>
        <w:ind w:left="660" w:firstLine="644"/>
        <w:spacing w:after="0" w:line="257" w:lineRule="auto"/>
        <w:tabs>
          <w:tab w:leader="none" w:pos="183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Revolving Credit Lender shall upon any notice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make funds available to the Administrative Agent for the account of the relevant L/C Issuer at the Administrative Agent’s Office in an amount equal to its Applicable Revolving Credit Percentage </w:t>
      </w:r>
      <w:r>
        <w:rPr>
          <w:rFonts w:ascii="Times New Roman" w:cs="Times New Roman" w:eastAsia="Times New Roman" w:hAnsi="Times New Roman"/>
          <w:sz w:val="22"/>
          <w:szCs w:val="22"/>
          <w:u w:val="single" w:color="auto"/>
          <w:color w:val="0000FF"/>
        </w:rPr>
        <w:t>with respect to all Revolving Credit Facilities</w:t>
      </w:r>
      <w:r>
        <w:rPr>
          <w:rFonts w:ascii="Times New Roman" w:cs="Times New Roman" w:eastAsia="Times New Roman" w:hAnsi="Times New Roman"/>
          <w:sz w:val="22"/>
          <w:szCs w:val="22"/>
          <w:color w:val="auto"/>
        </w:rPr>
        <w:t xml:space="p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99" w:name="page100"/>
    <w:bookmarkEnd w:id="99"/>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 xml:space="preserve">the Unreimbursed Amount not later than 1:00 p.m. on the Business Day specified in such notice by the Administrative Agent, whereupon, subject to the provisions of </w:t>
      </w:r>
      <w:r>
        <w:rPr>
          <w:rFonts w:ascii="Times New Roman" w:cs="Times New Roman" w:eastAsia="Times New Roman" w:hAnsi="Times New Roman"/>
          <w:sz w:val="22"/>
          <w:szCs w:val="22"/>
          <w:u w:val="single" w:color="auto"/>
          <w:color w:val="auto"/>
        </w:rPr>
        <w:t>Section 2.03(c)(iii)</w:t>
      </w:r>
      <w:r>
        <w:rPr>
          <w:rFonts w:ascii="Times New Roman" w:cs="Times New Roman" w:eastAsia="Times New Roman" w:hAnsi="Times New Roman"/>
          <w:sz w:val="22"/>
          <w:szCs w:val="22"/>
          <w:color w:val="auto"/>
        </w:rPr>
        <w:t>, each Revolving Credit Lender that so makes funds available shall be deemed to have made a Base Rate Loan to the Borrower in such amount. The Administrative Agent shall remit the funds so received to the relevant L/C Issuer.</w:t>
      </w:r>
    </w:p>
    <w:p>
      <w:pPr>
        <w:spacing w:after="0" w:line="179" w:lineRule="exact"/>
        <w:rPr>
          <w:sz w:val="20"/>
          <w:szCs w:val="20"/>
          <w:color w:val="auto"/>
        </w:rPr>
      </w:pPr>
    </w:p>
    <w:p>
      <w:pPr>
        <w:jc w:val="both"/>
        <w:ind w:left="660" w:firstLine="644"/>
        <w:spacing w:after="0" w:line="250" w:lineRule="auto"/>
        <w:tabs>
          <w:tab w:leader="none" w:pos="187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967"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Until each Revolving Credit Lender funds its Revolving Credit Loan or L/C Advance pursuant to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to reimburse the relevant L/C Issuer for any amount drawn under any Letter of Credit, interest in respect of such Lender’s Applicable Revolving Credit Percentage </w:t>
      </w:r>
      <w:r>
        <w:rPr>
          <w:rFonts w:ascii="Times New Roman" w:cs="Times New Roman" w:eastAsia="Times New Roman" w:hAnsi="Times New Roman"/>
          <w:sz w:val="22"/>
          <w:szCs w:val="22"/>
          <w:u w:val="single" w:color="auto"/>
          <w:color w:val="0000FF"/>
        </w:rPr>
        <w:t>with respect to all Revolving Credit Facilities</w:t>
      </w:r>
      <w:r>
        <w:rPr>
          <w:rFonts w:ascii="Times New Roman" w:cs="Times New Roman" w:eastAsia="Times New Roman" w:hAnsi="Times New Roman"/>
          <w:sz w:val="22"/>
          <w:szCs w:val="22"/>
          <w:color w:val="auto"/>
        </w:rPr>
        <w:t xml:space="preserve"> of such amount shall be solely for the account of the relevant L/C Issuer.</w:t>
      </w:r>
    </w:p>
    <w:p>
      <w:pPr>
        <w:spacing w:after="0" w:line="192" w:lineRule="exact"/>
        <w:rPr>
          <w:rFonts w:ascii="Times New Roman" w:cs="Times New Roman" w:eastAsia="Times New Roman" w:hAnsi="Times New Roman"/>
          <w:sz w:val="22"/>
          <w:szCs w:val="22"/>
          <w:color w:val="010000"/>
        </w:rPr>
      </w:pPr>
    </w:p>
    <w:p>
      <w:pPr>
        <w:jc w:val="both"/>
        <w:ind w:left="660" w:firstLine="644"/>
        <w:spacing w:after="0" w:line="260" w:lineRule="auto"/>
        <w:tabs>
          <w:tab w:leader="none" w:pos="1956"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Revolving Credit Lender’s obligation to make Revolving Credit Loans to the Borrower or L/C Advances to reimburse the relevant L/C Issuer for amounts drawn under Letters of Credit, as contemplated by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any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Credit Lender’s obligation to make Revolving Credit Loans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(other than delivery by the Borrower of a Committed Loan Notice ).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91" w:lineRule="exact"/>
        <w:rPr>
          <w:rFonts w:ascii="Times New Roman" w:cs="Times New Roman" w:eastAsia="Times New Roman" w:hAnsi="Times New Roman"/>
          <w:sz w:val="21"/>
          <w:szCs w:val="21"/>
          <w:color w:val="010000"/>
        </w:rPr>
      </w:pPr>
    </w:p>
    <w:p>
      <w:pPr>
        <w:jc w:val="both"/>
        <w:ind w:left="660" w:firstLine="644"/>
        <w:spacing w:after="0" w:line="248" w:lineRule="auto"/>
        <w:tabs>
          <w:tab w:leader="none" w:pos="1892"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0" w:name="page101"/>
    <w:bookmarkEnd w:id="10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accordance with banking industry rules on interbank compensation. A certificate of the relevant L/C Issuer submitted to any Revolving Credit Lender (through the Administrative Agent) with respect to any amounts owing under this </w:t>
      </w:r>
      <w:r>
        <w:rPr>
          <w:rFonts w:ascii="Times New Roman" w:cs="Times New Roman" w:eastAsia="Times New Roman" w:hAnsi="Times New Roman"/>
          <w:sz w:val="22"/>
          <w:szCs w:val="22"/>
          <w:u w:val="single" w:color="auto"/>
          <w:color w:val="auto"/>
        </w:rPr>
        <w:t>Section 2.03(c)(vi)</w:t>
      </w:r>
      <w:r>
        <w:rPr>
          <w:rFonts w:ascii="Times New Roman" w:cs="Times New Roman" w:eastAsia="Times New Roman" w:hAnsi="Times New Roman"/>
          <w:sz w:val="22"/>
          <w:szCs w:val="22"/>
          <w:color w:val="auto"/>
        </w:rPr>
        <w:t xml:space="preserve"> shall be conclusive absent manifest error.</w:t>
      </w:r>
    </w:p>
    <w:p>
      <w:pPr>
        <w:spacing w:after="0" w:line="173" w:lineRule="exact"/>
        <w:rPr>
          <w:sz w:val="20"/>
          <w:szCs w:val="20"/>
          <w:color w:val="auto"/>
        </w:rPr>
      </w:pPr>
    </w:p>
    <w:p>
      <w:pPr>
        <w:jc w:val="both"/>
        <w:ind w:firstLine="1304"/>
        <w:spacing w:after="0" w:line="250" w:lineRule="auto"/>
        <w:tabs>
          <w:tab w:leader="none" w:pos="1831"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 xml:space="preserve">. (i) At any time after an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w:t>
      </w:r>
      <w:r>
        <w:rPr>
          <w:rFonts w:ascii="Times New Roman" w:cs="Times New Roman" w:eastAsia="Times New Roman" w:hAnsi="Times New Roman"/>
          <w:sz w:val="22"/>
          <w:szCs w:val="22"/>
          <w:u w:val="single" w:color="auto"/>
          <w:color w:val="0000FF"/>
        </w:rPr>
        <w:t>with respect to all Revolving Credit Facilities</w:t>
      </w:r>
      <w:r>
        <w:rPr>
          <w:rFonts w:ascii="Times New Roman" w:cs="Times New Roman" w:eastAsia="Times New Roman" w:hAnsi="Times New Roman"/>
          <w:sz w:val="22"/>
          <w:szCs w:val="22"/>
          <w:color w:val="auto"/>
        </w:rPr>
        <w:t xml:space="preserve"> thereof (appropriately adjusted, in the case of interest payments, to reflect the period of time during which such Lender’s L/C Advance was outstanding) in the same funds as those received by the Administrative Agent.</w:t>
      </w:r>
    </w:p>
    <w:p>
      <w:pPr>
        <w:spacing w:after="0" w:line="187" w:lineRule="exact"/>
        <w:rPr>
          <w:sz w:val="20"/>
          <w:szCs w:val="20"/>
          <w:color w:val="auto"/>
        </w:rPr>
      </w:pPr>
    </w:p>
    <w:p>
      <w:pPr>
        <w:jc w:val="both"/>
        <w:ind w:left="660" w:firstLine="644"/>
        <w:spacing w:after="0" w:line="249" w:lineRule="auto"/>
        <w:tabs>
          <w:tab w:leader="none" w:pos="199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Administrative Agent for the account of an L/C Issuer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is required to be returned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such L/C Issuer in its discretion), each Revolving Credit Lender shall pay to the Administrative Agent for the account of such L/C Issuer its Applicable Revolving Credit Percentage </w:t>
      </w:r>
      <w:r>
        <w:rPr>
          <w:rFonts w:ascii="Times New Roman" w:cs="Times New Roman" w:eastAsia="Times New Roman" w:hAnsi="Times New Roman"/>
          <w:sz w:val="22"/>
          <w:szCs w:val="22"/>
          <w:u w:val="single" w:color="auto"/>
          <w:color w:val="0000FF"/>
        </w:rPr>
        <w:t>with respect to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Revolving Credit Facilities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thereof on demand of the Administrative Agent, plus interest thereon from the date of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demand to the date such amount is returned by such Lender, at a rate per annum equal to the Federal Funds Rate from time to time in effect. The obligations of the Lenders under this clause shall survive the payment in full of the Obligations and the termination of this Credit Agreement.</w:t>
      </w:r>
    </w:p>
    <w:p>
      <w:pPr>
        <w:spacing w:after="0" w:line="182" w:lineRule="exact"/>
        <w:rPr>
          <w:sz w:val="20"/>
          <w:szCs w:val="20"/>
          <w:color w:val="auto"/>
        </w:rPr>
      </w:pPr>
    </w:p>
    <w:p>
      <w:pPr>
        <w:jc w:val="both"/>
        <w:ind w:firstLine="1304"/>
        <w:spacing w:after="0" w:line="281" w:lineRule="auto"/>
        <w:tabs>
          <w:tab w:leader="none" w:pos="1779"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the Borrower to reimburse the relevant L/C Issuer for each drawing under each Letter of Credit issued by it and to repay each L/C Borrowing shall be absolute, unconditional and irrevocable, and shall be paid strictly in accordance with the terms of this Credit Agreement under all circumstances, including the following:</w:t>
      </w:r>
    </w:p>
    <w:p>
      <w:pPr>
        <w:spacing w:after="0" w:line="151" w:lineRule="exact"/>
        <w:rPr>
          <w:sz w:val="20"/>
          <w:szCs w:val="20"/>
          <w:color w:val="auto"/>
        </w:rPr>
      </w:pPr>
    </w:p>
    <w:p>
      <w:pPr>
        <w:ind w:left="1840" w:hanging="536"/>
        <w:spacing w:after="0"/>
        <w:tabs>
          <w:tab w:leader="none" w:pos="1840"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lack of validity or enforceability of such Letter of Credit, this Credit Agreement, or any other Loan</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Document;</w:t>
      </w:r>
    </w:p>
    <w:p>
      <w:pPr>
        <w:spacing w:after="0" w:line="195"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83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Credit Agreement, the transactions contemplated hereby or by such Letter of Credit or any agreement or instrument relating thereto, or any unrelated transaction;</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861"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22"/>
          <w:szCs w:val="22"/>
          <w:color w:val="auto"/>
        </w:rPr>
        <w:t>transmission or otherwise of any document required in order to make a drawing under such Letter of Credit;</w:t>
      </w:r>
    </w:p>
    <w:p>
      <w:pPr>
        <w:spacing w:after="0" w:line="220" w:lineRule="exact"/>
        <w:rPr>
          <w:sz w:val="20"/>
          <w:szCs w:val="20"/>
          <w:color w:val="auto"/>
        </w:rPr>
      </w:pPr>
    </w:p>
    <w:p>
      <w:pPr>
        <w:jc w:val="both"/>
        <w:ind w:left="660" w:firstLine="644"/>
        <w:spacing w:after="0" w:line="253" w:lineRule="auto"/>
        <w:tabs>
          <w:tab w:leader="none" w:pos="1977"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83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such L/C Issuer and its correspondents unless such notice is given as aforesaid.</w:t>
      </w:r>
    </w:p>
    <w:p>
      <w:pPr>
        <w:spacing w:after="0" w:line="176" w:lineRule="exact"/>
        <w:rPr>
          <w:sz w:val="20"/>
          <w:szCs w:val="20"/>
          <w:color w:val="auto"/>
        </w:rPr>
      </w:pPr>
    </w:p>
    <w:p>
      <w:pPr>
        <w:jc w:val="both"/>
        <w:ind w:firstLine="1304"/>
        <w:spacing w:after="0" w:line="258" w:lineRule="auto"/>
        <w:tabs>
          <w:tab w:leader="none" w:pos="1836" w:val="left"/>
        </w:tabs>
        <w:numPr>
          <w:ilvl w:val="1"/>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Role of L/C Issuers</w:t>
      </w:r>
      <w:r>
        <w:rPr>
          <w:rFonts w:ascii="Times New Roman" w:cs="Times New Roman" w:eastAsia="Times New Roman" w:hAnsi="Times New Roman"/>
          <w:sz w:val="21"/>
          <w:szCs w:val="21"/>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w:t>
      </w:r>
    </w:p>
    <w:p>
      <w:pPr>
        <w:spacing w:after="0" w:line="12" w:lineRule="exact"/>
        <w:rPr>
          <w:rFonts w:ascii="Times New Roman" w:cs="Times New Roman" w:eastAsia="Times New Roman" w:hAnsi="Times New Roman"/>
          <w:sz w:val="21"/>
          <w:szCs w:val="21"/>
          <w:color w:val="010000"/>
        </w:rPr>
      </w:pPr>
    </w:p>
    <w:p>
      <w:pPr>
        <w:jc w:val="both"/>
        <w:ind w:firstLine="8"/>
        <w:spacing w:after="0" w:line="248" w:lineRule="auto"/>
        <w:tabs>
          <w:tab w:leader="none" w:pos="2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(v) of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as determined in a final and non-appealable judgment by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2" w:name="page103"/>
    <w:bookmarkEnd w:id="102"/>
    <w:p>
      <w:pPr>
        <w:jc w:val="both"/>
        <w:spacing w:after="0" w:line="257" w:lineRule="auto"/>
        <w:rPr>
          <w:sz w:val="20"/>
          <w:szCs w:val="20"/>
          <w:color w:val="auto"/>
        </w:rPr>
      </w:pPr>
      <w:r>
        <w:rPr>
          <w:rFonts w:ascii="Times New Roman" w:cs="Times New Roman" w:eastAsia="Times New Roman" w:hAnsi="Times New Roman"/>
          <w:sz w:val="22"/>
          <w:szCs w:val="22"/>
          <w:color w:val="auto"/>
        </w:rPr>
        <w:t>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3" w:lineRule="exact"/>
        <w:rPr>
          <w:sz w:val="20"/>
          <w:szCs w:val="20"/>
          <w:color w:val="auto"/>
        </w:rPr>
      </w:pPr>
    </w:p>
    <w:p>
      <w:pPr>
        <w:jc w:val="both"/>
        <w:ind w:firstLine="1304"/>
        <w:spacing w:after="0" w:line="260" w:lineRule="auto"/>
        <w:tabs>
          <w:tab w:leader="none" w:pos="1818"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set forth certain requirements to deliver Cash Collateral hereunder. For purposes of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Collateralize</w:t>
      </w:r>
      <w:r>
        <w:rPr>
          <w:rFonts w:ascii="Times New Roman" w:cs="Times New Roman" w:eastAsia="Times New Roman" w:hAnsi="Times New Roman"/>
          <w:sz w:val="21"/>
          <w:szCs w:val="21"/>
          <w:color w:val="auto"/>
        </w:rPr>
        <w:t>” means, in respect of an obligation, to provide and pledge (as a first priority perfected security interest) cash collateral (“</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in Dollars, at a location and pursuant to documentation in form and substance reasonably satisfactory to the Administrative Agent and, in the case of any L/C Obligations to be Cash Collateralized, the relevant L/C Issuer. Derivatives of such term have corresponding meanings. The Borrower hereby grants to the Administrative Agent, for the benefit of the L/C Issuers and the Lenders, a security interest in all such cash, deposit accounts and all balances therein and all proceeds of the foregoing. Cash Collateral shall be maintained in blocked, non-interest bearing deposit accounts at JPMCB.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relevant L/C Issuer.</w:t>
      </w:r>
    </w:p>
    <w:p>
      <w:pPr>
        <w:spacing w:after="0" w:line="179"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92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Applicability of ISP and UCP</w:t>
      </w:r>
      <w:r>
        <w:rPr>
          <w:rFonts w:ascii="Times New Roman" w:cs="Times New Roman" w:eastAsia="Times New Roman" w:hAnsi="Times New Roman"/>
          <w:sz w:val="22"/>
          <w:szCs w:val="22"/>
          <w:color w:val="auto"/>
        </w:rPr>
        <w:t>. Unless otherwise expressly agreed by the relevant L/C Issuer and the Borrower when a Letter of Credit is issued, (i) the rules of the ISP shall apply to each standby Letter of Credit, and (ii) the rules of the UCP, as most recently published by the International Chamber of Commerce at the time of issuance shall apply to each commercial Letter of Credit.</w:t>
      </w:r>
    </w:p>
    <w:p>
      <w:pPr>
        <w:spacing w:after="0" w:line="17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29"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Borrower shall pay to the Administrative Agent for the account of each Revolving Credit Lender in accordance with its Applicable Revolving Credit Percentage </w:t>
      </w:r>
      <w:r>
        <w:rPr>
          <w:rFonts w:ascii="Times New Roman" w:cs="Times New Roman" w:eastAsia="Times New Roman" w:hAnsi="Times New Roman"/>
          <w:sz w:val="22"/>
          <w:szCs w:val="22"/>
          <w:u w:val="single" w:color="auto"/>
          <w:color w:val="0000FF"/>
        </w:rPr>
        <w:t>with respect to all Revolving Credit Facilities</w:t>
      </w:r>
      <w:r>
        <w:rPr>
          <w:rFonts w:ascii="Times New Roman" w:cs="Times New Roman" w:eastAsia="Times New Roman" w:hAnsi="Times New Roman"/>
          <w:sz w:val="22"/>
          <w:szCs w:val="22"/>
          <w:color w:val="auto"/>
        </w:rPr>
        <w:t xml:space="preserve"> a Letter of Credit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for each Letter of Credit equal to the Applicable Rate times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Letter of Credit Fees shall be (A) computed on a quarterly basis in arrears and (B) due and payable on the last Business Day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Required Revolving Lenders, while any Event of Default exists, all Letter of Credit Fees shall accrue at the Default Rate.</w:t>
      </w:r>
    </w:p>
    <w:p>
      <w:pPr>
        <w:spacing w:after="0" w:line="220" w:lineRule="exact"/>
        <w:rPr>
          <w:sz w:val="20"/>
          <w:szCs w:val="20"/>
          <w:color w:val="auto"/>
        </w:rPr>
      </w:pPr>
    </w:p>
    <w:p>
      <w:pPr>
        <w:jc w:val="both"/>
        <w:ind w:firstLine="1304"/>
        <w:spacing w:after="0" w:line="248" w:lineRule="auto"/>
        <w:tabs>
          <w:tab w:leader="none" w:pos="1824"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Fronting Fee and Documentary and Processing Charges Payable to L/C Issuers</w:t>
      </w:r>
      <w:r>
        <w:rPr>
          <w:rFonts w:ascii="Times New Roman" w:cs="Times New Roman" w:eastAsia="Times New Roman" w:hAnsi="Times New Roman"/>
          <w:sz w:val="22"/>
          <w:szCs w:val="22"/>
          <w:color w:val="auto"/>
        </w:rPr>
        <w:t xml:space="preserve">. The Borrower shall pay directly to each L/C Issuer for its own account a fronting fee with respect to each Letter of Credit issued by it, at a rate per annum of 0.125%,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8" w:lineRule="exact"/>
        <w:rPr>
          <w:rFonts w:ascii="Times New Roman" w:cs="Times New Roman" w:eastAsia="Times New Roman" w:hAnsi="Times New Roman"/>
          <w:sz w:val="22"/>
          <w:szCs w:val="22"/>
          <w:color w:val="010000"/>
        </w:rPr>
      </w:pPr>
    </w:p>
    <w:p>
      <w:pPr>
        <w:ind w:firstLine="1304"/>
        <w:spacing w:after="0" w:line="271" w:lineRule="auto"/>
        <w:tabs>
          <w:tab w:leader="none" w:pos="1804"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157"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64"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Letters of Credit Issued for Subsidiaries</w:t>
      </w:r>
      <w:r>
        <w:rPr>
          <w:rFonts w:ascii="Times New Roman" w:cs="Times New Roman" w:eastAsia="Times New Roman" w:hAnsi="Times New Roman"/>
          <w:sz w:val="22"/>
          <w:szCs w:val="22"/>
          <w:color w:val="auto"/>
        </w:rPr>
        <w:t>. Notwithstanding that a Letter of Credit issued or outstanding hereunder is in support of any obligations of, or is for the account of, a Subsidiary, the Borrower shall be obligated to reimburse the relevant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4" w:lineRule="exact"/>
        <w:rPr>
          <w:rFonts w:ascii="Times New Roman" w:cs="Times New Roman" w:eastAsia="Times New Roman" w:hAnsi="Times New Roman"/>
          <w:sz w:val="22"/>
          <w:szCs w:val="22"/>
          <w:color w:val="010000"/>
        </w:rPr>
      </w:pPr>
    </w:p>
    <w:p>
      <w:pPr>
        <w:jc w:val="both"/>
        <w:ind w:firstLine="1304"/>
        <w:spacing w:after="0" w:line="258" w:lineRule="auto"/>
        <w:tabs>
          <w:tab w:leader="none" w:pos="1864"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Addition of an L/C Issuer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Lender may become an additional L/C Issuer hereunder pursuant to a written agreement among the Company, the Administrative Agent and such Lender and such agreement shall specify such additional L/C Issuer’s L/C Commitment. The Administrative Agent shall notify the Revolving Credit Lenders of the addition of each additional L/C Issuer.</w:t>
      </w:r>
    </w:p>
    <w:p>
      <w:pPr>
        <w:spacing w:after="0" w:line="167"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31" w:val="left"/>
        </w:tabs>
        <w:numPr>
          <w:ilvl w:val="0"/>
          <w:numId w:val="7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Provisions Related to Letters of Credit in respect of Extended Revolving Credit Commitments</w:t>
      </w:r>
      <w:r>
        <w:rPr>
          <w:rFonts w:ascii="Times New Roman" w:cs="Times New Roman" w:eastAsia="Times New Roman" w:hAnsi="Times New Roman"/>
          <w:sz w:val="22"/>
          <w:szCs w:val="22"/>
          <w:i w:val="1"/>
          <w:iCs w:val="1"/>
          <w:u w:val="single" w:color="auto"/>
          <w:color w:val="0000FF"/>
        </w:rPr>
        <w:t>.</w:t>
      </w:r>
      <w:r>
        <w:rPr>
          <w:rFonts w:ascii="Times New Roman" w:cs="Times New Roman" w:eastAsia="Times New Roman" w:hAnsi="Times New Roman"/>
          <w:sz w:val="22"/>
          <w:szCs w:val="22"/>
          <w:u w:val="single" w:color="auto"/>
          <w:color w:val="0000FF"/>
        </w:rPr>
        <w:t xml:space="preserve"> If the Letter of Credit Expiration Date in respect of any tranche of Revolving Credit Commitments occurs prior to the expiry date of any Letter of Credit, then (i) 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Sections 2.03(c) and (d)) under (and ratably participated in by Lenders pursuant to) the Revolving Credit Commitments in respect of such non-terminating tranches up to an aggregate amount not to exceed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-1344930</wp:posOffset>
            </wp:positionV>
            <wp:extent cx="34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4" w:name="page105"/>
    <w:bookmarkEnd w:id="104"/>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0000FF"/>
        </w:rPr>
        <w:t>amount of the unutilized Revolving Credit Commitments thereunder at such time (it being understood that no partial face amount of any Letter of Credit may be so reallocated) and (ii) to the extent not reallocated pursuant to immediately preceding clause (i), the Borrower shall Cash Collateralize any such Letter of Credit in accordance with Section 2.03(g). Upon the maturity date of any tranche of Revolving Credit Commitments, the sublimit for Letters of Credit may be reduced as agreed between the L/C Issuers and the Borrower, without the consent of any other Person.</w:t>
      </w:r>
    </w:p>
    <w:p>
      <w:pPr>
        <w:spacing w:after="0" w:line="19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2.04</w:t>
      </w:r>
      <w:r>
        <w:rPr>
          <w:sz w:val="20"/>
          <w:szCs w:val="20"/>
          <w:color w:val="auto"/>
        </w:rPr>
        <w:tab/>
      </w:r>
      <w:r>
        <w:rPr>
          <w:rFonts w:ascii="Times New Roman" w:cs="Times New Roman" w:eastAsia="Times New Roman" w:hAnsi="Times New Roman"/>
          <w:sz w:val="21"/>
          <w:szCs w:val="21"/>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845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54" w:lineRule="auto"/>
        <w:tabs>
          <w:tab w:leader="none" w:pos="1846" w:val="left"/>
        </w:tabs>
        <w:numPr>
          <w:ilvl w:val="1"/>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 The Borrower may, upon notice to the Administrative Agent, at any time or from time to time voluntarily prepay the Term A Loans and Revolving Credit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010000"/>
        </w:rPr>
      </w:pPr>
    </w:p>
    <w:p>
      <w:pPr>
        <w:jc w:val="both"/>
        <w:ind w:firstLine="8"/>
        <w:spacing w:after="0" w:line="258" w:lineRule="auto"/>
        <w:tabs>
          <w:tab w:leader="none" w:pos="36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notice must be received by the Administrative Agent not later than 11:00 a.m. (I) three Business Days prior to any date of prepayment of SOFR Loans and (II) on the date of prepayment of Base Rate Loans; (B) any prepayment of SOFR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the Type(s) of Loans to be prepaid.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SOFR Loan shall be accompanied by all accrued interest on the amount prepaid, together with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Each prepayment of the outstanding Loans pursuant to this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shall be (a) in the case of prepayments made with respect to any Term A Loans applied to any Term A Facility as directed by the Borrower; provided that if any prepayment is made of the Extended Term A Facility at a time when the Non-Extended Term A Facility is outstanding, such prepayment must be ratably applied to the Non-Extended Term A Facility </w:t>
      </w:r>
      <w:r>
        <w:rPr>
          <w:rFonts w:ascii="Times New Roman" w:cs="Times New Roman" w:eastAsia="Times New Roman" w:hAnsi="Times New Roman"/>
          <w:sz w:val="21"/>
          <w:szCs w:val="21"/>
          <w:color w:val="FF0000"/>
        </w:rPr>
        <w:t>and</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(b</w:t>
      </w:r>
      <w:r>
        <w:rPr>
          <w:rFonts w:ascii="Times New Roman" w:cs="Times New Roman" w:eastAsia="Times New Roman" w:hAnsi="Times New Roman"/>
          <w:sz w:val="21"/>
          <w:szCs w:val="21"/>
          <w:u w:val="single" w:color="auto"/>
          <w:color w:val="0000FF"/>
        </w:rPr>
        <w:t>) in the case of prepayments made with respect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to any Revolving Credit Loans, such prepayment shall be applied ratably across each Revolving Credit Facility except for prepayments made in connection with a permanent repayment and termination of Non-Extended Revolving Credit Commitments and (c</w:t>
      </w:r>
      <w:r>
        <w:rPr>
          <w:rFonts w:ascii="Times New Roman" w:cs="Times New Roman" w:eastAsia="Times New Roman" w:hAnsi="Times New Roman"/>
          <w:sz w:val="21"/>
          <w:szCs w:val="21"/>
          <w:color w:val="000000"/>
        </w:rPr>
        <w:t>) payments applied within any Facility shall be applied to the principal repayment installments thereof as directed by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Company (and if not so directed, on a pro-rata basis), and each such prepayment shall be paid to the Lenders in accordance with their respective Applicable Percentages in respect of the applicable Facility.</w:t>
      </w:r>
    </w:p>
    <w:p>
      <w:pPr>
        <w:spacing w:after="0" w:line="187" w:lineRule="exact"/>
        <w:rPr>
          <w:rFonts w:ascii="Times New Roman" w:cs="Times New Roman" w:eastAsia="Times New Roman" w:hAnsi="Times New Roman"/>
          <w:sz w:val="21"/>
          <w:szCs w:val="21"/>
          <w:color w:val="auto"/>
        </w:rPr>
      </w:pPr>
    </w:p>
    <w:p>
      <w:pPr>
        <w:jc w:val="both"/>
        <w:ind w:firstLine="1304"/>
        <w:spacing w:after="0" w:line="265" w:lineRule="auto"/>
        <w:tabs>
          <w:tab w:leader="none" w:pos="1845" w:val="left"/>
        </w:tabs>
        <w:numPr>
          <w:ilvl w:val="1"/>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 xml:space="preserve">. (iv) If the Company or any of its Restricted Subsidiaries (A) Disposes of any property (other than any deemed Disposition referred to in </w:t>
      </w:r>
      <w:r>
        <w:rPr>
          <w:rFonts w:ascii="Times New Roman" w:cs="Times New Roman" w:eastAsia="Times New Roman" w:hAnsi="Times New Roman"/>
          <w:sz w:val="21"/>
          <w:szCs w:val="21"/>
          <w:u w:val="single" w:color="auto"/>
          <w:color w:val="auto"/>
        </w:rPr>
        <w:t>Section 7.08(c)</w:t>
      </w:r>
      <w:r>
        <w:rPr>
          <w:rFonts w:ascii="Times New Roman" w:cs="Times New Roman" w:eastAsia="Times New Roman" w:hAnsi="Times New Roman"/>
          <w:sz w:val="21"/>
          <w:szCs w:val="21"/>
          <w:color w:val="auto"/>
        </w:rPr>
        <w:t xml:space="preserve">) or (B) suffers an Event of Loss, in each case, which results in the realization by such Person of Net Cash Proceeds, the Borrower shall prepay, immediately upon receipt thereof by such Person, an aggregate principal amount of Loans equal to 100% of such Net Cash Proceeds which, in the aggregate with any other Net Cash Proceeds described in this </w:t>
      </w:r>
      <w:r>
        <w:rPr>
          <w:rFonts w:ascii="Times New Roman" w:cs="Times New Roman" w:eastAsia="Times New Roman" w:hAnsi="Times New Roman"/>
          <w:sz w:val="21"/>
          <w:szCs w:val="21"/>
          <w:u w:val="single" w:color="auto"/>
          <w:color w:val="auto"/>
        </w:rPr>
        <w:t>Section 2.04(b)(i)</w:t>
      </w:r>
      <w:r>
        <w:rPr>
          <w:rFonts w:ascii="Times New Roman" w:cs="Times New Roman" w:eastAsia="Times New Roman" w:hAnsi="Times New Roman"/>
          <w:sz w:val="21"/>
          <w:szCs w:val="21"/>
          <w:color w:val="auto"/>
        </w:rPr>
        <w:t xml:space="preserve"> that have not been used to prepay the Loans pursuant to this </w:t>
      </w:r>
      <w:r>
        <w:rPr>
          <w:rFonts w:ascii="Times New Roman" w:cs="Times New Roman" w:eastAsia="Times New Roman" w:hAnsi="Times New Roman"/>
          <w:sz w:val="21"/>
          <w:szCs w:val="21"/>
          <w:u w:val="single" w:color="auto"/>
          <w:color w:val="auto"/>
        </w:rPr>
        <w:t>Section 2.04(b)(i)</w:t>
      </w:r>
      <w:r>
        <w:rPr>
          <w:rFonts w:ascii="Times New Roman" w:cs="Times New Roman" w:eastAsia="Times New Roman" w:hAnsi="Times New Roman"/>
          <w:sz w:val="21"/>
          <w:szCs w:val="21"/>
          <w:color w:val="auto"/>
        </w:rPr>
        <w:t xml:space="preserve"> or reinvested pursuant to the proviso set forth below, exceeds $150,000,000;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-2043430</wp:posOffset>
            </wp:positionV>
            <wp:extent cx="2324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5" w:name="page106"/>
    <w:bookmarkEnd w:id="10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Proceeds described in this </w:t>
      </w:r>
      <w:r>
        <w:rPr>
          <w:rFonts w:ascii="Times New Roman" w:cs="Times New Roman" w:eastAsia="Times New Roman" w:hAnsi="Times New Roman"/>
          <w:sz w:val="22"/>
          <w:szCs w:val="22"/>
          <w:u w:val="single" w:color="auto"/>
          <w:color w:val="auto"/>
        </w:rPr>
        <w:t>Section 2.04(b)(i)</w:t>
      </w:r>
      <w:r>
        <w:rPr>
          <w:rFonts w:ascii="Times New Roman" w:cs="Times New Roman" w:eastAsia="Times New Roman" w:hAnsi="Times New Roman"/>
          <w:sz w:val="22"/>
          <w:szCs w:val="22"/>
          <w:color w:val="auto"/>
        </w:rPr>
        <w:t xml:space="preserve">, at the election of the Borrower (as notified by the Borrower to the Administrative Agent on or prior to the receipt of such Net Cash Proceeds), and so long as no Default shall have occurred and be continuing, the Company or such Restricted Subsidiary may reinvest all or any portion of such Net Cash Proceeds in operating assets so long as within 365 days after the receipt of such Net Cash Proceeds, such reinvestment shall have been consummated (as certified by the Company in writing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Net Cash Proceeds not so reinvested shall be immediately applied to the prepayment of the Loans as set forth in this </w:t>
      </w:r>
      <w:r>
        <w:rPr>
          <w:rFonts w:ascii="Times New Roman" w:cs="Times New Roman" w:eastAsia="Times New Roman" w:hAnsi="Times New Roman"/>
          <w:sz w:val="22"/>
          <w:szCs w:val="22"/>
          <w:u w:val="single" w:color="auto"/>
          <w:color w:val="auto"/>
        </w:rPr>
        <w:t>Section 2.04(b)(i)</w:t>
      </w:r>
      <w:r>
        <w:rPr>
          <w:rFonts w:ascii="Times New Roman" w:cs="Times New Roman" w:eastAsia="Times New Roman" w:hAnsi="Times New Roman"/>
          <w:sz w:val="22"/>
          <w:szCs w:val="22"/>
          <w:color w:val="auto"/>
        </w:rPr>
        <w:t>; and</w:t>
      </w:r>
    </w:p>
    <w:p>
      <w:pPr>
        <w:spacing w:after="0" w:line="181" w:lineRule="exact"/>
        <w:rPr>
          <w:sz w:val="20"/>
          <w:szCs w:val="20"/>
          <w:color w:val="auto"/>
        </w:rPr>
      </w:pPr>
    </w:p>
    <w:p>
      <w:pPr>
        <w:jc w:val="both"/>
        <w:ind w:left="660" w:firstLine="644"/>
        <w:spacing w:after="0" w:line="268" w:lineRule="auto"/>
        <w:tabs>
          <w:tab w:leader="none" w:pos="1831"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the incurrence or issuance by the Company or any of the Restricted Subsidiaries of any Indebtedness (other than any Indebtedness expressly permitted to be incurred or issued pursuant to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the Borrower shall prepay an aggregate principal amount of Term A Loans and Revolving Credit Loans equal to 100% of all Net Cash Proceeds received therefrom immediately upon receipt thereof by the Company or such Restricted Subsidiary;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in the case of each of clauses (i) and (ii) above, if at the time that any such prepayment would be required, the Company or any of its Restricted Subsidiaries shall be required to, or to offer to, repurchase or redeem or repay or prepay any Indebtedness (including any Incremental Facilities or Incremental Equivalent Debt)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or senior to the Obligations pursuant to the terms of the documentation governing such Indebtedness with the Net Cash Proceeds of such Disposition, Event of Loss or incurrence or issuance of Indebtedness (such Indebtedness required to be offered to be so repurchased,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u w:val="single" w:color="auto"/>
          <w:color w:val="auto"/>
        </w:rPr>
        <w:t>Other Applicable Indebtedness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then the Company (or any Restricted Subsidiary) may apply such Net Cash Proceeds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(determined on the basis of the aggregate outstanding principal amount of the Term A Loans (but not the Revolving Loans) and Other Applicable Indebtedness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 Term A Loans subject to such mandatory prepayment requirement are outstanding or will be outstanding after the application of such prepayment, then the Company may apply all such Net Cash Proceeds after the repayment of such Term A Loans to repay the Other Applicable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A Loans and Revolving Loans (in accordance with the terms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to the extent the holders of Other Applicable Indebtedness decline to have such Indebtedness repurchased or repaid with such Net Cash Proceeds, the declined amount of such Net Cash Proceeds shall promptly (and in any event within ten (10) Business Days after the date of such rejection) be applied to prepay the Term A Loans and Revolving Loans in accordance with the terms hereof (to the extent such Net Cash Proceeds would otherwise have been required to be so applied if such Other Applicable Indebtedness was not then outstanding).</w:t>
      </w:r>
    </w:p>
    <w:p>
      <w:pPr>
        <w:spacing w:after="0" w:line="183" w:lineRule="exact"/>
        <w:rPr>
          <w:sz w:val="20"/>
          <w:szCs w:val="20"/>
          <w:color w:val="auto"/>
        </w:rPr>
      </w:pPr>
    </w:p>
    <w:p>
      <w:pPr>
        <w:jc w:val="both"/>
        <w:ind w:left="660" w:firstLine="644"/>
        <w:spacing w:after="0" w:line="275" w:lineRule="auto"/>
        <w:tabs>
          <w:tab w:leader="none" w:pos="1972" w:val="left"/>
        </w:tabs>
        <w:numPr>
          <w:ilvl w:val="0"/>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prepayment of Loans pursuant to </w:t>
      </w:r>
      <w:r>
        <w:rPr>
          <w:rFonts w:ascii="Times New Roman" w:cs="Times New Roman" w:eastAsia="Times New Roman" w:hAnsi="Times New Roman"/>
          <w:sz w:val="21"/>
          <w:szCs w:val="21"/>
          <w:u w:val="single" w:color="auto"/>
          <w:color w:val="auto"/>
        </w:rPr>
        <w:t>Section 2.04(b)(i)</w:t>
      </w:r>
      <w:r>
        <w:rPr>
          <w:rFonts w:ascii="Times New Roman" w:cs="Times New Roman" w:eastAsia="Times New Roman" w:hAnsi="Times New Roman"/>
          <w:sz w:val="21"/>
          <w:szCs w:val="21"/>
          <w:color w:val="auto"/>
        </w:rPr>
        <w:t xml:space="preserve"> shall be applied,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ratably to the Term A Facilities (to the principal repayment of installments thereof on a pro rata basis) and any Other Applicable Indebtedness, and,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the Revolving Credit </w:t>
      </w:r>
      <w:r>
        <w:rPr>
          <w:rFonts w:ascii="Times New Roman" w:cs="Times New Roman" w:eastAsia="Times New Roman" w:hAnsi="Times New Roman"/>
          <w:sz w:val="21"/>
          <w:szCs w:val="21"/>
          <w:color w:val="FF0000"/>
          <w:strike w:val="1"/>
        </w:rPr>
        <w:t>Facility</w:t>
      </w:r>
      <w:r>
        <w:rPr>
          <w:rFonts w:ascii="Times New Roman" w:cs="Times New Roman" w:eastAsia="Times New Roman" w:hAnsi="Times New Roman"/>
          <w:sz w:val="21"/>
          <w:szCs w:val="21"/>
          <w:u w:val="single" w:color="auto"/>
          <w:color w:val="0000FF"/>
        </w:rPr>
        <w:t>Facilities</w:t>
      </w:r>
      <w:r>
        <w:rPr>
          <w:rFonts w:ascii="Times New Roman" w:cs="Times New Roman" w:eastAsia="Times New Roman" w:hAnsi="Times New Roman"/>
          <w:sz w:val="21"/>
          <w:szCs w:val="21"/>
          <w:color w:val="auto"/>
        </w:rPr>
        <w:t xml:space="preserve"> in the manner set forth in clause (vi) of this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6" w:name="page107"/>
    <w:bookmarkEnd w:id="106"/>
    <w:p>
      <w:pPr>
        <w:jc w:val="both"/>
        <w:ind w:left="660" w:firstLine="644"/>
        <w:spacing w:after="0" w:line="257" w:lineRule="auto"/>
        <w:tabs>
          <w:tab w:leader="none" w:pos="19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prepayment of Loans pursuant to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 xml:space="preserve">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ratably, to the Term A Facilities (to the principal repayment of installments thereof on a pro rata basis) and any Other Applicable Indebtedness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Revolving Credit Facility in the manner set forth in clause (vi) of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72" w:lineRule="auto"/>
        <w:tabs>
          <w:tab w:leader="none" w:pos="1780"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for any reason the Total Revolving Credit Outstandings </w:t>
      </w:r>
      <w:r>
        <w:rPr>
          <w:rFonts w:ascii="Times New Roman" w:cs="Times New Roman" w:eastAsia="Times New Roman" w:hAnsi="Times New Roman"/>
          <w:sz w:val="21"/>
          <w:szCs w:val="21"/>
          <w:u w:val="single" w:color="auto"/>
          <w:color w:val="0000FF"/>
        </w:rPr>
        <w:t>with respect to any Revolving Credit Facility or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Revolving Credit Facilities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at any time exceed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such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Revolving Credit Facility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or all Revolving Credit Facilities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such time, the Borrower shall immediately prepay </w:t>
      </w:r>
      <w:r>
        <w:rPr>
          <w:rFonts w:ascii="Times New Roman" w:cs="Times New Roman" w:eastAsia="Times New Roman" w:hAnsi="Times New Roman"/>
          <w:sz w:val="21"/>
          <w:szCs w:val="21"/>
          <w:u w:val="single" w:color="auto"/>
          <w:color w:val="0000FF"/>
        </w:rPr>
        <w:t>such</w:t>
      </w:r>
      <w:r>
        <w:rPr>
          <w:rFonts w:ascii="Times New Roman" w:cs="Times New Roman" w:eastAsia="Times New Roman" w:hAnsi="Times New Roman"/>
          <w:sz w:val="21"/>
          <w:szCs w:val="21"/>
          <w:color w:val="000000"/>
        </w:rPr>
        <w:t xml:space="preserve"> Revolving Credit Loans, Swingline Loans or L/C Borrowings or Cash Collateralize the L/C Obligations (other than the L/C Borrowings)</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00"/>
        </w:rPr>
        <w:t xml:space="preserve"> in an aggregate amount equal to such excess.</w:t>
      </w:r>
    </w:p>
    <w:p>
      <w:pPr>
        <w:spacing w:after="0" w:line="160" w:lineRule="exact"/>
        <w:rPr>
          <w:rFonts w:ascii="Times New Roman" w:cs="Times New Roman" w:eastAsia="Times New Roman" w:hAnsi="Times New Roman"/>
          <w:sz w:val="21"/>
          <w:szCs w:val="21"/>
          <w:color w:val="010000"/>
        </w:rPr>
      </w:pPr>
    </w:p>
    <w:p>
      <w:pPr>
        <w:jc w:val="both"/>
        <w:ind w:left="660" w:firstLine="644"/>
        <w:spacing w:after="0" w:line="248" w:lineRule="auto"/>
        <w:tabs>
          <w:tab w:leader="none" w:pos="1890"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Prepayments of the Revolving Credit Facility made pursuant to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ratably to the L/C Borrowings and the Swingline Loans,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shall be applied ratably to the outstanding Revolving Credit Loans,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shall be used to Cash Collateralize the remaining L/C Obligations; and, in the case of prepayments of the Revolving Credit Facility required pursuant to clause (i) or (ii) of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the amount remaining, if any, after the prepayment in full of all L/C Borrowings, Swingline Loans and Revolving Credit Loans outstanding at such time and the Cash Collateralization of the remaining L/C Obligations in full (the sum of such prepayment amounts, cash collateralization amounts and remaining amount being, collectively, the “</w:t>
      </w:r>
      <w:r>
        <w:rPr>
          <w:rFonts w:ascii="Times New Roman" w:cs="Times New Roman" w:eastAsia="Times New Roman" w:hAnsi="Times New Roman"/>
          <w:sz w:val="22"/>
          <w:szCs w:val="22"/>
          <w:u w:val="single" w:color="auto"/>
          <w:color w:val="auto"/>
        </w:rPr>
        <w:t>Reduction Amount</w:t>
      </w:r>
      <w:r>
        <w:rPr>
          <w:rFonts w:ascii="Times New Roman" w:cs="Times New Roman" w:eastAsia="Times New Roman" w:hAnsi="Times New Roman"/>
          <w:sz w:val="22"/>
          <w:szCs w:val="22"/>
          <w:color w:val="auto"/>
        </w:rPr>
        <w:t>”) may be retained by the Borrower for use in the ordinary course of its business. Upon the drawing of any Letter of Credit that has been Cash Collateralized, the funds held as Cash Collateral shall be applied (without any further action by or notice to or from the Borrower or any other Loan Party) to reimburse the relevant L/C Issuer or the Revolving Credit Lenders, as applicable.</w:t>
      </w:r>
    </w:p>
    <w:p>
      <w:pPr>
        <w:spacing w:after="0" w:line="188" w:lineRule="exact"/>
        <w:rPr>
          <w:rFonts w:ascii="Times New Roman" w:cs="Times New Roman" w:eastAsia="Times New Roman" w:hAnsi="Times New Roman"/>
          <w:sz w:val="22"/>
          <w:szCs w:val="22"/>
          <w:color w:val="010000"/>
        </w:rPr>
      </w:pPr>
    </w:p>
    <w:p>
      <w:pPr>
        <w:jc w:val="both"/>
        <w:ind w:left="660" w:firstLine="644"/>
        <w:spacing w:after="0" w:line="247" w:lineRule="auto"/>
        <w:tabs>
          <w:tab w:leader="none" w:pos="1927"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Anything contained herein to the contrary notwithstanding, in the event the Borrower is required to make, in accordance with </w:t>
      </w:r>
      <w:r>
        <w:rPr>
          <w:rFonts w:ascii="Times New Roman" w:cs="Times New Roman" w:eastAsia="Times New Roman" w:hAnsi="Times New Roman"/>
          <w:sz w:val="22"/>
          <w:szCs w:val="22"/>
          <w:u w:val="single" w:color="auto"/>
          <w:color w:val="auto"/>
        </w:rPr>
        <w:t>Section 2.04(b)(i)</w:t>
      </w:r>
      <w:r>
        <w:rPr>
          <w:rFonts w:ascii="Times New Roman" w:cs="Times New Roman" w:eastAsia="Times New Roman" w:hAnsi="Times New Roman"/>
          <w:sz w:val="22"/>
          <w:szCs w:val="22"/>
          <w:color w:val="auto"/>
        </w:rPr>
        <w:t>, an offer to purchase at par the outstanding Incremental Term Loans, if any (a “</w:t>
      </w:r>
      <w:r>
        <w:rPr>
          <w:rFonts w:ascii="Times New Roman" w:cs="Times New Roman" w:eastAsia="Times New Roman" w:hAnsi="Times New Roman"/>
          <w:sz w:val="22"/>
          <w:szCs w:val="22"/>
          <w:u w:val="single" w:color="auto"/>
          <w:color w:val="auto"/>
        </w:rPr>
        <w:t>Waivable Prepayment</w:t>
      </w:r>
      <w:r>
        <w:rPr>
          <w:rFonts w:ascii="Times New Roman" w:cs="Times New Roman" w:eastAsia="Times New Roman" w:hAnsi="Times New Roman"/>
          <w:sz w:val="22"/>
          <w:szCs w:val="22"/>
          <w:color w:val="auto"/>
        </w:rPr>
        <w:t>”), not less than three Business Days prior to the date (the “</w:t>
      </w:r>
      <w:r>
        <w:rPr>
          <w:rFonts w:ascii="Times New Roman" w:cs="Times New Roman" w:eastAsia="Times New Roman" w:hAnsi="Times New Roman"/>
          <w:sz w:val="22"/>
          <w:szCs w:val="22"/>
          <w:u w:val="single" w:color="auto"/>
          <w:color w:val="auto"/>
        </w:rPr>
        <w:t>Required Prepayment Date</w:t>
      </w:r>
      <w:r>
        <w:rPr>
          <w:rFonts w:ascii="Times New Roman" w:cs="Times New Roman" w:eastAsia="Times New Roman" w:hAnsi="Times New Roman"/>
          <w:sz w:val="22"/>
          <w:szCs w:val="22"/>
          <w:color w:val="auto"/>
        </w:rPr>
        <w:t>”) on which the Borrower is required to make such Waivable Prepayment, the Borrower shall notify the Administrative Agent of the amount of such prepayment, and the Administrative Agent will promptly thereafter notify each Lender holding outstanding Incremental Term Loans of the amount of such Incremental Term Lender’s Applicable Percentage of such Waivable Prepayment and such Incremental Term Lender’s option to refuse such amount. Each such Incremental Term Lender may exercise such option to refuse such amount by giving written notice to the Company and the Administrative Agent of its election to do so on or before 1:00 p.m., New York City time, on the first Business Day prior to the Required Prepayment Date (it being understood that any Incremental Term Lender which does not notify the Company and the Administrative Agent of its election to exercise such option on or before 1:00 p.m., New York City time, on the first Business Day prior to the Required Prepayment Date shall be deemed to have elected, as of such date, not to exercise such option). On the Required Prepayment Date, the Borrower shall pay to the Administrative Agent the amount of the Waivable Prepayment, which amount shall be applied (i) in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7" w:name="page108"/>
    <w:bookmarkEnd w:id="107"/>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equal to that portion of the Waivable Prepayment payable to those Lenders that have elected not to exercise such option (the “</w:t>
      </w:r>
      <w:r>
        <w:rPr>
          <w:rFonts w:ascii="Times New Roman" w:cs="Times New Roman" w:eastAsia="Times New Roman" w:hAnsi="Times New Roman"/>
          <w:sz w:val="22"/>
          <w:szCs w:val="22"/>
          <w:u w:val="single" w:color="auto"/>
          <w:color w:val="auto"/>
        </w:rPr>
        <w:t>Non-Waiving Lenders</w:t>
      </w:r>
      <w:r>
        <w:rPr>
          <w:rFonts w:ascii="Times New Roman" w:cs="Times New Roman" w:eastAsia="Times New Roman" w:hAnsi="Times New Roman"/>
          <w:sz w:val="22"/>
          <w:szCs w:val="22"/>
          <w:color w:val="auto"/>
        </w:rPr>
        <w:t xml:space="preserve">”), to prepay the Incremental Term Loans held by such Non-Waiving Lenders (which prepayment shall be applied to the scheduled installments of principal of the Incremental Term Loans as specified by the Incremental Term Supplement), and (ii) in an amount equal to that portion of the Waivable Prepayment that otherwise would have been payable to Incremental Term Lenders that are not Non-Waiving Lenders, to prepay the Term A Loans and Revolving Credit Loans, which prepayment shall be further applied to the scheduled installments of principal of the Term A Loans and Revolving Credit Loans, as applicable, in accordance with </w:t>
      </w:r>
      <w:r>
        <w:rPr>
          <w:rFonts w:ascii="Times New Roman" w:cs="Times New Roman" w:eastAsia="Times New Roman" w:hAnsi="Times New Roman"/>
          <w:sz w:val="22"/>
          <w:szCs w:val="22"/>
          <w:u w:val="single" w:color="auto"/>
          <w:color w:val="auto"/>
        </w:rPr>
        <w:t>Section 2.04(b)(iv)</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2.05 </w:t>
      </w:r>
      <w:r>
        <w:rPr>
          <w:rFonts w:ascii="Times New Roman" w:cs="Times New Roman" w:eastAsia="Times New Roman" w:hAnsi="Times New Roman"/>
          <w:sz w:val="22"/>
          <w:szCs w:val="22"/>
          <w:color w:val="000000"/>
        </w:rPr>
        <w:t>Termination or Reduction of Commitments. (e)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Optional</w:t>
      </w:r>
      <w:r>
        <w:rPr>
          <w:rFonts w:ascii="Times New Roman" w:cs="Times New Roman" w:eastAsia="Times New Roman" w:hAnsi="Times New Roman"/>
          <w:sz w:val="22"/>
          <w:szCs w:val="22"/>
          <w:color w:val="000000"/>
        </w:rPr>
        <w:t>. The Company may, upon notice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Administrative Agent at any time, terminate the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000000"/>
        </w:rPr>
        <w:t xml:space="preserve">, the Swingline Sublimit or the Letter of Credit Sublimit, or from time to time permanently reduce the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000000"/>
        </w:rPr>
        <w:t xml:space="preserve">, the Swingline Sublimit or the Letter of Credit Sublimit, in each case without premium or penalty;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-853440</wp:posOffset>
            </wp:positionV>
            <wp:extent cx="26041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jc w:val="both"/>
        <w:ind w:firstLine="8"/>
        <w:spacing w:after="0" w:line="245" w:lineRule="auto"/>
        <w:tabs>
          <w:tab w:leader="none" w:pos="3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terminate or reduce (A) the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auto"/>
        </w:rPr>
        <w:t xml:space="preserve"> if, after giving effect thereto and to any concurrent prepayments hereunder, the Total Revolving Credit Outstandings </w:t>
      </w:r>
      <w:r>
        <w:rPr>
          <w:rFonts w:ascii="Times New Roman" w:cs="Times New Roman" w:eastAsia="Times New Roman" w:hAnsi="Times New Roman"/>
          <w:sz w:val="22"/>
          <w:szCs w:val="22"/>
          <w:color w:val="FF0000"/>
          <w:strike w:val="1"/>
        </w:rPr>
        <w:t>would exceed the</w:t>
      </w:r>
      <w:r>
        <w:rPr>
          <w:rFonts w:ascii="Times New Roman" w:cs="Times New Roman" w:eastAsia="Times New Roman" w:hAnsi="Times New Roman"/>
          <w:sz w:val="22"/>
          <w:szCs w:val="22"/>
          <w:u w:val="single" w:color="auto"/>
          <w:color w:val="0000FF"/>
        </w:rPr>
        <w:t>with respect to any</w:t>
      </w:r>
      <w:r>
        <w:rPr>
          <w:rFonts w:ascii="Times New Roman" w:cs="Times New Roman" w:eastAsia="Times New Roman" w:hAnsi="Times New Roman"/>
          <w:sz w:val="22"/>
          <w:szCs w:val="22"/>
          <w:color w:val="auto"/>
        </w:rPr>
        <w:t xml:space="preserve"> Revolving Credit Facility </w:t>
      </w:r>
      <w:r>
        <w:rPr>
          <w:rFonts w:ascii="Times New Roman" w:cs="Times New Roman" w:eastAsia="Times New Roman" w:hAnsi="Times New Roman"/>
          <w:sz w:val="22"/>
          <w:szCs w:val="22"/>
          <w:color w:val="0000FF"/>
        </w:rPr>
        <w:t>or all Revolving Credit Facilities would exceed such Revolving Credit Facility or all Revolving Credit Facilities,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as applicable</w:t>
      </w:r>
      <w:r>
        <w:rPr>
          <w:rFonts w:ascii="Times New Roman" w:cs="Times New Roman" w:eastAsia="Times New Roman" w:hAnsi="Times New Roman"/>
          <w:sz w:val="22"/>
          <w:szCs w:val="22"/>
          <w:color w:val="000000"/>
        </w:rPr>
        <w:t>, (B) the Swingline Sublimit if, after giving effect thereto, the Outstanding Amount of the Swingline Loans would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exceed the Swingline Sublimit or (C) the Letter of Credit Sublimit if, after giving effect thereto, the Outstanding Amount of L/C Obligations not fully Cash Collateralized hereunder would exceed the Letter of Credit Sublimit</w:t>
      </w:r>
      <w:r>
        <w:rPr>
          <w:rFonts w:ascii="Times New Roman" w:cs="Times New Roman" w:eastAsia="Times New Roman" w:hAnsi="Times New Roman"/>
          <w:sz w:val="22"/>
          <w:szCs w:val="22"/>
          <w:u w:val="single" w:color="auto"/>
          <w:color w:val="0000FF"/>
        </w:rPr>
        <w:t>; provided, that any permanent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termination or reduction of the Extended Revolving Credit Facility shall be applied ratably to the Non-Extended Revolving Credit Facility</w:t>
      </w:r>
      <w:r>
        <w:rPr>
          <w:rFonts w:ascii="Times New Roman" w:cs="Times New Roman" w:eastAsia="Times New Roman" w:hAnsi="Times New Roman"/>
          <w:sz w:val="22"/>
          <w:szCs w:val="22"/>
          <w:color w:val="000000"/>
        </w:rPr>
        <w:t>.</w:t>
      </w:r>
    </w:p>
    <w:p>
      <w:pPr>
        <w:spacing w:after="0" w:line="1" w:lineRule="exact"/>
        <w:rPr>
          <w:rFonts w:ascii="Times New Roman" w:cs="Times New Roman" w:eastAsia="Times New Roman" w:hAnsi="Times New Roman"/>
          <w:sz w:val="22"/>
          <w:szCs w:val="22"/>
          <w:color w:val="auto"/>
        </w:rPr>
      </w:pPr>
    </w:p>
    <w:p>
      <w:pPr>
        <w:ind w:firstLine="1304"/>
        <w:spacing w:after="0" w:line="259" w:lineRule="auto"/>
        <w:tabs>
          <w:tab w:leader="none" w:pos="1885"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 xml:space="preserve">. (i) The aggregate Term A Commitments shall be automatically and permanently reduced to $0.00 on the Closing Date immediately following the borrowing of the Term A Loans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-1202690</wp:posOffset>
            </wp:positionV>
            <wp:extent cx="6330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0950" cy="8255"/>
                    </a:xfrm>
                    <a:prstGeom prst="rect">
                      <a:avLst/>
                    </a:prstGeom>
                    <a:noFill/>
                  </pic:spPr>
                </pic:pic>
              </a:graphicData>
            </a:graphic>
          </wp:anchor>
        </w:drawing>
      </w:r>
    </w:p>
    <w:p>
      <w:pPr>
        <w:spacing w:after="0" w:line="151" w:lineRule="exact"/>
        <w:rPr>
          <w:sz w:val="20"/>
          <w:szCs w:val="20"/>
          <w:color w:val="auto"/>
        </w:rPr>
      </w:pPr>
    </w:p>
    <w:p>
      <w:pPr>
        <w:jc w:val="both"/>
        <w:ind w:left="660" w:firstLine="644"/>
        <w:spacing w:after="0" w:line="256" w:lineRule="auto"/>
        <w:tabs>
          <w:tab w:leader="none" w:pos="201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after giving effect to any reduction or termination of Revolving Credit Commitments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the Letter of Credit Sublimit or the Swingline Sublimit exceeds the Revolving Credit Facility at such time, the Letter of Credit Sublimit or the Swingline Sublimit, as the case may be, shall be automatically reduced by the amount of such excess.</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29"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 ratably,</w:t>
      </w:r>
      <w:r>
        <w:rPr>
          <w:rFonts w:ascii="Times New Roman" w:cs="Times New Roman" w:eastAsia="Times New Roman" w:hAnsi="Times New Roman"/>
          <w:sz w:val="22"/>
          <w:szCs w:val="22"/>
          <w:color w:val="auto"/>
        </w:rPr>
        <w:t xml:space="preserve"> shall be automatically and permanently reduced on each date on which the prepayment of Revolving Credit Loans outstanding thereunder is required to be made pursuant to </w:t>
      </w:r>
      <w:r>
        <w:rPr>
          <w:rFonts w:ascii="Times New Roman" w:cs="Times New Roman" w:eastAsia="Times New Roman" w:hAnsi="Times New Roman"/>
          <w:sz w:val="22"/>
          <w:szCs w:val="22"/>
          <w:u w:val="single" w:color="auto"/>
          <w:color w:val="auto"/>
        </w:rPr>
        <w:t>Section 2.04(b)(i)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by an amount equal to the applicable Reduction Amount.</w:t>
      </w:r>
    </w:p>
    <w:p>
      <w:pPr>
        <w:spacing w:after="0" w:line="173" w:lineRule="exact"/>
        <w:rPr>
          <w:sz w:val="20"/>
          <w:szCs w:val="20"/>
          <w:color w:val="auto"/>
        </w:rPr>
      </w:pPr>
    </w:p>
    <w:p>
      <w:pPr>
        <w:jc w:val="both"/>
        <w:ind w:firstLine="1304"/>
        <w:spacing w:after="0" w:line="263" w:lineRule="auto"/>
        <w:tabs>
          <w:tab w:leader="none" w:pos="1819"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Application of Commitment Reductions; Payment of Fees</w:t>
      </w:r>
      <w:r>
        <w:rPr>
          <w:rFonts w:ascii="Times New Roman" w:cs="Times New Roman" w:eastAsia="Times New Roman" w:hAnsi="Times New Roman"/>
          <w:sz w:val="22"/>
          <w:szCs w:val="22"/>
          <w:color w:val="auto"/>
        </w:rPr>
        <w:t>. The Administrative Agent will promptly notify the Lenders of any termination or reduction of the Letter of Credit Sublimit, Swingline Sublimit or the Revolving Credit Commitment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8" w:name="page109"/>
    <w:bookmarkEnd w:id="108"/>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Upon any reduction of the Revolving Credit Commitments </w:t>
      </w:r>
      <w:r>
        <w:rPr>
          <w:rFonts w:ascii="Times New Roman" w:cs="Times New Roman" w:eastAsia="Times New Roman" w:hAnsi="Times New Roman"/>
          <w:sz w:val="22"/>
          <w:szCs w:val="22"/>
          <w:color w:val="0000FF"/>
        </w:rPr>
        <w:t>with respect to any Revolving Credit Facility or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Revolving Credit Facilities</w:t>
      </w:r>
      <w:r>
        <w:rPr>
          <w:rFonts w:ascii="Times New Roman" w:cs="Times New Roman" w:eastAsia="Times New Roman" w:hAnsi="Times New Roman"/>
          <w:sz w:val="22"/>
          <w:szCs w:val="22"/>
          <w:color w:val="000000"/>
        </w:rPr>
        <w:t>, unless otherwise permitted under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2.05</w:t>
      </w:r>
      <w:r>
        <w:rPr>
          <w:rFonts w:ascii="Times New Roman" w:cs="Times New Roman" w:eastAsia="Times New Roman" w:hAnsi="Times New Roman"/>
          <w:sz w:val="22"/>
          <w:szCs w:val="22"/>
          <w:color w:val="000000"/>
        </w:rPr>
        <w:t>, the Revolving Credit Commitment of each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Revolving Credit Lender shall be reduced by such Lender’s Applicable Revolving Credit Percentage </w:t>
      </w:r>
      <w:r>
        <w:rPr>
          <w:rFonts w:ascii="Times New Roman" w:cs="Times New Roman" w:eastAsia="Times New Roman" w:hAnsi="Times New Roman"/>
          <w:sz w:val="22"/>
          <w:szCs w:val="22"/>
          <w:u w:val="single" w:color="auto"/>
          <w:color w:val="0000FF"/>
        </w:rPr>
        <w:t>with respect to such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Revolving Credit Facility or all Revolving Credit Facilities, as 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such reduction amount. All fees in respect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Revolving Credit Facility accrued until the effective date of any termination of the Revolving Credit Facility shall be paid on the effective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-861060</wp:posOffset>
            </wp:positionV>
            <wp:extent cx="2984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4500" cy="8255"/>
                    </a:xfrm>
                    <a:prstGeom prst="rect">
                      <a:avLst/>
                    </a:prstGeom>
                    <a:noFill/>
                  </pic:spPr>
                </pic:pic>
              </a:graphicData>
            </a:graphic>
          </wp:anchor>
        </w:drawing>
      </w:r>
    </w:p>
    <w:p>
      <w:pPr>
        <w:spacing w:after="0" w:line="161" w:lineRule="exact"/>
        <w:rPr>
          <w:sz w:val="20"/>
          <w:szCs w:val="20"/>
          <w:color w:val="auto"/>
        </w:rPr>
      </w:pPr>
    </w:p>
    <w:p>
      <w:pPr>
        <w:jc w:val="both"/>
        <w:ind w:firstLine="1304"/>
        <w:spacing w:after="0" w:line="262" w:lineRule="auto"/>
        <w:tabs>
          <w:tab w:leader="none" w:pos="1804"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Defaulting Lender</w:t>
      </w:r>
      <w:r>
        <w:rPr>
          <w:rFonts w:ascii="Times New Roman" w:cs="Times New Roman" w:eastAsia="Times New Roman" w:hAnsi="Times New Roman"/>
          <w:sz w:val="21"/>
          <w:szCs w:val="21"/>
          <w:color w:val="auto"/>
        </w:rPr>
        <w:t xml:space="preserve">. The Company may terminate the unused amount of the Commitment of any Lender that is a Defaulting Lender upon not less than five Business Days’ prior notice to the Administrative Agent (which shall promptly notify the Lenders thereof), and in such event the provisions of </w:t>
      </w:r>
      <w:r>
        <w:rPr>
          <w:rFonts w:ascii="Times New Roman" w:cs="Times New Roman" w:eastAsia="Times New Roman" w:hAnsi="Times New Roman"/>
          <w:sz w:val="21"/>
          <w:szCs w:val="21"/>
          <w:u w:val="single" w:color="auto"/>
          <w:color w:val="auto"/>
        </w:rPr>
        <w:t>Section 2.16(c)</w:t>
      </w:r>
      <w:r>
        <w:rPr>
          <w:rFonts w:ascii="Times New Roman" w:cs="Times New Roman" w:eastAsia="Times New Roman" w:hAnsi="Times New Roman"/>
          <w:sz w:val="21"/>
          <w:szCs w:val="21"/>
          <w:color w:val="auto"/>
        </w:rPr>
        <w:t xml:space="preserve"> will apply to all amounts thereafter paid by the Borrower for the account of such Defaulting Lender under this Credit Agreement (whether on account of principal, interest, fees, indemnity or other amounts),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Event of Default shall have occurred and be continuing and</w:t>
      </w:r>
    </w:p>
    <w:p>
      <w:pPr>
        <w:spacing w:after="0" w:line="1" w:lineRule="exact"/>
        <w:rPr>
          <w:rFonts w:ascii="Times New Roman" w:cs="Times New Roman" w:eastAsia="Times New Roman" w:hAnsi="Times New Roman"/>
          <w:sz w:val="21"/>
          <w:szCs w:val="21"/>
          <w:color w:val="010000"/>
        </w:rPr>
      </w:pPr>
    </w:p>
    <w:p>
      <w:pPr>
        <w:ind w:firstLine="8"/>
        <w:spacing w:after="0" w:line="248" w:lineRule="auto"/>
        <w:tabs>
          <w:tab w:leader="none" w:pos="32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termination shall not be deemed to be a waiver or release of any claim the Borrower, the Administrative Agent, any L/C Issuer, the Swingline Lender or any Lender may have against such Defaulting Lender.</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2.06</w:t>
      </w:r>
      <w:r>
        <w:rPr>
          <w:sz w:val="20"/>
          <w:szCs w:val="20"/>
          <w:color w:val="auto"/>
        </w:rPr>
        <w:tab/>
      </w:r>
      <w:r>
        <w:rPr>
          <w:rFonts w:ascii="Times New Roman" w:cs="Times New Roman" w:eastAsia="Times New Roman" w:hAnsi="Times New Roman"/>
          <w:sz w:val="21"/>
          <w:szCs w:val="21"/>
          <w:color w:val="auto"/>
        </w:rPr>
        <w:t>Repayment of Loans</w:t>
      </w:r>
      <w:r>
        <w:rPr>
          <w:rFonts w:ascii="Times New Roman" w:cs="Times New Roman" w:eastAsia="Times New Roman" w:hAnsi="Times New Roman"/>
          <w:sz w:val="21"/>
          <w:szCs w:val="2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280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(f) Term A Loans.</w:t>
      </w:r>
    </w:p>
    <w:p>
      <w:pPr>
        <w:spacing w:after="0" w:line="196" w:lineRule="exact"/>
        <w:rPr>
          <w:sz w:val="20"/>
          <w:szCs w:val="20"/>
          <w:color w:val="auto"/>
        </w:rPr>
      </w:pPr>
    </w:p>
    <w:p>
      <w:pPr>
        <w:jc w:val="both"/>
        <w:ind w:left="660" w:firstLine="644"/>
        <w:spacing w:after="0" w:line="253" w:lineRule="auto"/>
        <w:tabs>
          <w:tab w:leader="none" w:pos="1429" w:val="left"/>
        </w:tabs>
        <w:numPr>
          <w:ilvl w:val="0"/>
          <w:numId w:val="87"/>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Following the Amendment No.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Effective Date, and after giving effect to the Amendment No.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Transactions, the Borrower shall repay to the Non-Extended Term A Lenders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rPr>
        <w:t xml:space="preserve"> the aggregate principal amount of all Non-Extended Term A Loans outstanding on the </w:t>
      </w:r>
      <w:r>
        <w:rPr>
          <w:rFonts w:ascii="Times New Roman" w:cs="Times New Roman" w:eastAsia="Times New Roman" w:hAnsi="Times New Roman"/>
          <w:sz w:val="22"/>
          <w:szCs w:val="22"/>
          <w:color w:val="FF0000"/>
          <w:strike w:val="1"/>
        </w:rPr>
        <w:t>Maturity Date with respect to the Non-Extended Term A Facility.</w:t>
      </w:r>
      <w:r>
        <w:rPr>
          <w:rFonts w:ascii="Times New Roman" w:cs="Times New Roman" w:eastAsia="Times New Roman" w:hAnsi="Times New Roman"/>
          <w:sz w:val="22"/>
          <w:szCs w:val="22"/>
          <w:u w:val="single" w:color="auto"/>
          <w:color w:val="0000FF"/>
        </w:rPr>
        <w:t>following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dates in the respective amounts set forth opposite such dates (which amounts shall be reduced as a result of the application of prepayments in accordance with the order of priority set forth in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09" w:name="page110"/>
    <w:bookmarkEnd w:id="109"/>
    <w:tbl>
      <w:tblPr>
        <w:tblLayout w:type="fixed"/>
        <w:tblInd w:w="1700" w:type="dxa"/>
        <w:tblCellMar>
          <w:top w:w="0" w:type="dxa"/>
          <w:left w:w="0" w:type="dxa"/>
          <w:bottom w:w="0" w:type="dxa"/>
          <w:right w:w="0" w:type="dxa"/>
        </w:tblCellMar>
      </w:tblPr>
      <w:tr>
        <w:trPr>
          <w:trHeight w:val="253"/>
        </w:trPr>
        <w:tc>
          <w:tcPr>
            <w:tcW w:w="80" w:type="dxa"/>
            <w:vAlign w:val="bottom"/>
            <w:shd w:val="clear" w:color="auto" w:fill="CCCCFF"/>
          </w:tcPr>
          <w:p>
            <w:pPr>
              <w:spacing w:after="0"/>
              <w:rPr>
                <w:sz w:val="22"/>
                <w:szCs w:val="22"/>
                <w:color w:val="auto"/>
              </w:rPr>
            </w:pPr>
          </w:p>
        </w:tc>
        <w:tc>
          <w:tcPr>
            <w:tcW w:w="840" w:type="dxa"/>
            <w:vAlign w:val="bottom"/>
            <w:shd w:val="clear" w:color="auto" w:fill="CCCCFF"/>
          </w:tcPr>
          <w:p>
            <w:pPr>
              <w:spacing w:after="0"/>
              <w:rPr>
                <w:sz w:val="22"/>
                <w:szCs w:val="22"/>
                <w:color w:val="auto"/>
              </w:rPr>
            </w:pPr>
          </w:p>
        </w:tc>
        <w:tc>
          <w:tcPr>
            <w:tcW w:w="1360" w:type="dxa"/>
            <w:vAlign w:val="bottom"/>
            <w:gridSpan w:val="6"/>
            <w:vMerge w:val="restart"/>
            <w:shd w:val="clear" w:color="auto" w:fill="CCCCFF"/>
          </w:tcPr>
          <w:p>
            <w:pPr>
              <w:spacing w:after="0"/>
              <w:rPr>
                <w:sz w:val="20"/>
                <w:szCs w:val="20"/>
                <w:color w:val="auto"/>
              </w:rPr>
            </w:pPr>
            <w:r>
              <w:rPr>
                <w:rFonts w:ascii="Times New Roman" w:cs="Times New Roman" w:eastAsia="Times New Roman" w:hAnsi="Times New Roman"/>
                <w:sz w:val="22"/>
                <w:szCs w:val="22"/>
                <w:b w:val="1"/>
                <w:bCs w:val="1"/>
                <w:color w:val="0000FF"/>
              </w:rPr>
              <w:t>Date</w:t>
            </w:r>
          </w:p>
        </w:tc>
        <w:tc>
          <w:tcPr>
            <w:tcW w:w="18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3020" w:type="dxa"/>
            <w:vAlign w:val="bottom"/>
            <w:gridSpan w:val="5"/>
            <w:shd w:val="clear" w:color="auto" w:fill="CCCCFF"/>
          </w:tcPr>
          <w:p>
            <w:pPr>
              <w:jc w:val="center"/>
              <w:ind w:right="400"/>
              <w:spacing w:after="0"/>
              <w:rPr>
                <w:sz w:val="20"/>
                <w:szCs w:val="20"/>
                <w:color w:val="auto"/>
              </w:rPr>
            </w:pPr>
            <w:r>
              <w:rPr>
                <w:rFonts w:ascii="Times New Roman" w:cs="Times New Roman" w:eastAsia="Times New Roman" w:hAnsi="Times New Roman"/>
                <w:sz w:val="22"/>
                <w:szCs w:val="22"/>
                <w:b w:val="1"/>
                <w:bCs w:val="1"/>
                <w:color w:val="0000FF"/>
                <w:w w:val="97"/>
              </w:rPr>
              <w:t>Non-Extended Term A Loan</w:t>
            </w:r>
          </w:p>
        </w:tc>
        <w:tc>
          <w:tcPr>
            <w:tcW w:w="0" w:type="dxa"/>
            <w:vAlign w:val="bottom"/>
          </w:tcPr>
          <w:p>
            <w:pPr>
              <w:spacing w:after="0"/>
              <w:rPr>
                <w:sz w:val="1"/>
                <w:szCs w:val="1"/>
                <w:color w:val="auto"/>
              </w:rPr>
            </w:pPr>
          </w:p>
        </w:tc>
      </w:tr>
      <w:tr>
        <w:trPr>
          <w:trHeight w:val="20"/>
        </w:trPr>
        <w:tc>
          <w:tcPr>
            <w:tcW w:w="80" w:type="dxa"/>
            <w:vAlign w:val="bottom"/>
            <w:shd w:val="clear" w:color="auto" w:fill="CCCCFF"/>
          </w:tcPr>
          <w:p>
            <w:pPr>
              <w:spacing w:after="0" w:line="20" w:lineRule="exact"/>
              <w:rPr>
                <w:sz w:val="1"/>
                <w:szCs w:val="1"/>
                <w:color w:val="auto"/>
              </w:rPr>
            </w:pPr>
          </w:p>
        </w:tc>
        <w:tc>
          <w:tcPr>
            <w:tcW w:w="840" w:type="dxa"/>
            <w:vAlign w:val="bottom"/>
            <w:shd w:val="clear" w:color="auto" w:fill="CCCCFF"/>
          </w:tcPr>
          <w:p>
            <w:pPr>
              <w:spacing w:after="0" w:line="20" w:lineRule="exact"/>
              <w:rPr>
                <w:sz w:val="1"/>
                <w:szCs w:val="1"/>
                <w:color w:val="auto"/>
              </w:rPr>
            </w:pPr>
          </w:p>
        </w:tc>
        <w:tc>
          <w:tcPr>
            <w:tcW w:w="1360" w:type="dxa"/>
            <w:vAlign w:val="bottom"/>
            <w:gridSpan w:val="6"/>
            <w:vMerge w:val="continue"/>
            <w:shd w:val="clear" w:color="auto" w:fill="CCCCFF"/>
          </w:tcPr>
          <w:p>
            <w:pPr>
              <w:spacing w:after="0" w:line="20" w:lineRule="exact"/>
              <w:rPr>
                <w:sz w:val="1"/>
                <w:szCs w:val="1"/>
                <w:color w:val="auto"/>
              </w:rPr>
            </w:pPr>
          </w:p>
        </w:tc>
        <w:tc>
          <w:tcPr>
            <w:tcW w:w="180" w:type="dxa"/>
            <w:vAlign w:val="bottom"/>
            <w:shd w:val="clear" w:color="auto" w:fill="CCCCFF"/>
          </w:tcPr>
          <w:p>
            <w:pPr>
              <w:spacing w:after="0" w:line="20" w:lineRule="exact"/>
              <w:rPr>
                <w:sz w:val="1"/>
                <w:szCs w:val="1"/>
                <w:color w:val="auto"/>
              </w:rPr>
            </w:pPr>
          </w:p>
        </w:tc>
        <w:tc>
          <w:tcPr>
            <w:tcW w:w="220" w:type="dxa"/>
            <w:vAlign w:val="bottom"/>
            <w:tcBorders>
              <w:right w:val="single" w:sz="8" w:color="CCCCFF"/>
            </w:tcBorders>
            <w:shd w:val="clear" w:color="auto" w:fill="CCCC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Borders>
              <w:right w:val="single" w:sz="8" w:color="CCCCFF"/>
            </w:tcBorders>
            <w:shd w:val="clear" w:color="auto" w:fill="0000FF"/>
          </w:tcPr>
          <w:p>
            <w:pPr>
              <w:spacing w:after="0" w:line="20" w:lineRule="exact"/>
              <w:rPr>
                <w:sz w:val="1"/>
                <w:szCs w:val="1"/>
                <w:color w:val="auto"/>
              </w:rPr>
            </w:pPr>
          </w:p>
        </w:tc>
        <w:tc>
          <w:tcPr>
            <w:tcW w:w="200" w:type="dxa"/>
            <w:vAlign w:val="bottom"/>
            <w:shd w:val="clear" w:color="auto" w:fill="CCCCFF"/>
          </w:tcPr>
          <w:p>
            <w:pPr>
              <w:spacing w:after="0" w:line="20" w:lineRule="exact"/>
              <w:rPr>
                <w:sz w:val="1"/>
                <w:szCs w:val="1"/>
                <w:color w:val="auto"/>
              </w:rPr>
            </w:pPr>
          </w:p>
        </w:tc>
        <w:tc>
          <w:tcPr>
            <w:tcW w:w="180" w:type="dxa"/>
            <w:vAlign w:val="bottom"/>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auto"/>
            </w:tcBorders>
            <w:shd w:val="clear" w:color="auto" w:fill="CCCCFF"/>
          </w:tcPr>
          <w:p>
            <w:pPr>
              <w:spacing w:after="0"/>
              <w:rPr>
                <w:sz w:val="21"/>
                <w:szCs w:val="21"/>
                <w:color w:val="auto"/>
              </w:rPr>
            </w:pPr>
          </w:p>
        </w:tc>
        <w:tc>
          <w:tcPr>
            <w:tcW w:w="840" w:type="dxa"/>
            <w:vAlign w:val="bottom"/>
            <w:tcBorders>
              <w:bottom w:val="single" w:sz="8" w:color="auto"/>
            </w:tcBorders>
            <w:shd w:val="clear" w:color="auto" w:fill="CCCCFF"/>
          </w:tcPr>
          <w:p>
            <w:pPr>
              <w:spacing w:after="0"/>
              <w:rPr>
                <w:sz w:val="21"/>
                <w:szCs w:val="21"/>
                <w:color w:val="auto"/>
              </w:rPr>
            </w:pPr>
          </w:p>
        </w:tc>
        <w:tc>
          <w:tcPr>
            <w:tcW w:w="1360" w:type="dxa"/>
            <w:vAlign w:val="bottom"/>
            <w:tcBorders>
              <w:bottom w:val="single" w:sz="8" w:color="auto"/>
            </w:tcBorders>
            <w:gridSpan w:val="6"/>
            <w:vMerge w:val="continue"/>
            <w:shd w:val="clear" w:color="auto" w:fill="CCCCFF"/>
          </w:tcPr>
          <w:p>
            <w:pPr>
              <w:spacing w:after="0"/>
              <w:rPr>
                <w:sz w:val="21"/>
                <w:szCs w:val="21"/>
                <w:color w:val="auto"/>
              </w:rPr>
            </w:pPr>
          </w:p>
        </w:tc>
        <w:tc>
          <w:tcPr>
            <w:tcW w:w="3040" w:type="dxa"/>
            <w:vAlign w:val="bottom"/>
            <w:tcBorders>
              <w:bottom w:val="single" w:sz="8" w:color="auto"/>
              <w:right w:val="single" w:sz="8" w:color="CCCCFF"/>
            </w:tcBorders>
            <w:gridSpan w:val="5"/>
            <w:shd w:val="clear" w:color="auto" w:fill="CCCCFF"/>
          </w:tcPr>
          <w:p>
            <w:pPr>
              <w:ind w:left="180"/>
              <w:spacing w:after="0" w:line="196" w:lineRule="exact"/>
              <w:rPr>
                <w:sz w:val="20"/>
                <w:szCs w:val="20"/>
                <w:color w:val="auto"/>
              </w:rPr>
            </w:pPr>
            <w:r>
              <w:rPr>
                <w:rFonts w:ascii="Times New Roman" w:cs="Times New Roman" w:eastAsia="Times New Roman" w:hAnsi="Times New Roman"/>
                <w:sz w:val="22"/>
                <w:szCs w:val="22"/>
                <w:b w:val="1"/>
                <w:bCs w:val="1"/>
                <w:color w:val="0000FF"/>
                <w:w w:val="91"/>
              </w:rPr>
              <w:t>Principal Amortization Payment</w:t>
            </w:r>
          </w:p>
        </w:tc>
        <w:tc>
          <w:tcPr>
            <w:tcW w:w="200" w:type="dxa"/>
            <w:vAlign w:val="bottom"/>
            <w:tcBorders>
              <w:bottom w:val="single" w:sz="8" w:color="auto"/>
            </w:tcBorders>
            <w:shd w:val="clear" w:color="auto" w:fill="CCCCFF"/>
          </w:tcPr>
          <w:p>
            <w:pPr>
              <w:spacing w:after="0"/>
              <w:rPr>
                <w:sz w:val="21"/>
                <w:szCs w:val="21"/>
                <w:color w:val="auto"/>
              </w:rPr>
            </w:pPr>
          </w:p>
        </w:tc>
        <w:tc>
          <w:tcPr>
            <w:tcW w:w="180" w:type="dxa"/>
            <w:vAlign w:val="bottom"/>
            <w:tcBorders>
              <w:bottom w:val="single" w:sz="8" w:color="auto"/>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CCCCFF"/>
            </w:tcBorders>
            <w:shd w:val="clear" w:color="auto" w:fill="CCCCFF"/>
          </w:tcPr>
          <w:p>
            <w:pPr>
              <w:spacing w:after="0"/>
              <w:rPr>
                <w:sz w:val="18"/>
                <w:szCs w:val="18"/>
                <w:color w:val="auto"/>
              </w:rPr>
            </w:pPr>
          </w:p>
        </w:tc>
        <w:tc>
          <w:tcPr>
            <w:tcW w:w="1220" w:type="dxa"/>
            <w:vAlign w:val="bottom"/>
            <w:tcBorders>
              <w:bottom w:val="single" w:sz="8" w:color="0000FF"/>
            </w:tcBorders>
            <w:gridSpan w:val="3"/>
            <w:shd w:val="clear" w:color="auto" w:fill="CCCCFF"/>
          </w:tcPr>
          <w:p>
            <w:pPr>
              <w:spacing w:after="0" w:line="209" w:lineRule="exact"/>
              <w:rPr>
                <w:sz w:val="20"/>
                <w:szCs w:val="20"/>
                <w:color w:val="auto"/>
              </w:rPr>
            </w:pPr>
            <w:r>
              <w:rPr>
                <w:rFonts w:ascii="Times New Roman" w:cs="Times New Roman" w:eastAsia="Times New Roman" w:hAnsi="Times New Roman"/>
                <w:sz w:val="22"/>
                <w:szCs w:val="22"/>
                <w:color w:val="0000FF"/>
                <w:w w:val="97"/>
              </w:rPr>
              <w:t>Dec. 31, 2025</w:t>
            </w:r>
          </w:p>
        </w:tc>
        <w:tc>
          <w:tcPr>
            <w:tcW w:w="980" w:type="dxa"/>
            <w:vAlign w:val="bottom"/>
            <w:tcBorders>
              <w:bottom w:val="single" w:sz="8" w:color="CCCCFF"/>
            </w:tcBorders>
            <w:gridSpan w:val="4"/>
            <w:shd w:val="clear" w:color="auto" w:fill="CCCCFF"/>
          </w:tcPr>
          <w:p>
            <w:pPr>
              <w:spacing w:after="0"/>
              <w:rPr>
                <w:sz w:val="18"/>
                <w:szCs w:val="18"/>
                <w:color w:val="auto"/>
              </w:rPr>
            </w:pPr>
          </w:p>
        </w:tc>
        <w:tc>
          <w:tcPr>
            <w:tcW w:w="1220" w:type="dxa"/>
            <w:vAlign w:val="bottom"/>
            <w:tcBorders>
              <w:bottom w:val="single" w:sz="8" w:color="CCCCFF"/>
            </w:tcBorders>
            <w:gridSpan w:val="3"/>
            <w:shd w:val="clear" w:color="auto" w:fill="CCCCFF"/>
          </w:tcPr>
          <w:p>
            <w:pPr>
              <w:spacing w:after="0"/>
              <w:rPr>
                <w:sz w:val="18"/>
                <w:szCs w:val="18"/>
                <w:color w:val="auto"/>
              </w:rPr>
            </w:pPr>
          </w:p>
        </w:tc>
        <w:tc>
          <w:tcPr>
            <w:tcW w:w="980" w:type="dxa"/>
            <w:vAlign w:val="bottom"/>
            <w:tcBorders>
              <w:bottom w:val="single" w:sz="8" w:color="0000FF"/>
            </w:tcBorders>
            <w:shd w:val="clear" w:color="auto" w:fill="CCCCFF"/>
          </w:tcPr>
          <w:p>
            <w:pPr>
              <w:jc w:val="center"/>
              <w:spacing w:after="0" w:line="209"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bottom w:val="single" w:sz="8" w:color="CCCCFF"/>
              <w:right w:val="single" w:sz="8" w:color="CCCCFF"/>
            </w:tcBorders>
            <w:shd w:val="clear" w:color="auto" w:fill="CCCCFF"/>
          </w:tcPr>
          <w:p>
            <w:pPr>
              <w:spacing w:after="0"/>
              <w:rPr>
                <w:sz w:val="18"/>
                <w:szCs w:val="18"/>
                <w:color w:val="auto"/>
              </w:rPr>
            </w:pPr>
          </w:p>
        </w:tc>
        <w:tc>
          <w:tcPr>
            <w:tcW w:w="200" w:type="dxa"/>
            <w:vAlign w:val="bottom"/>
            <w:tcBorders>
              <w:bottom w:val="single" w:sz="8" w:color="CCCCFF"/>
            </w:tcBorders>
            <w:shd w:val="clear" w:color="auto" w:fill="CCCCFF"/>
          </w:tcPr>
          <w:p>
            <w:pPr>
              <w:spacing w:after="0"/>
              <w:rPr>
                <w:sz w:val="18"/>
                <w:szCs w:val="18"/>
                <w:color w:val="auto"/>
              </w:rPr>
            </w:pPr>
          </w:p>
        </w:tc>
        <w:tc>
          <w:tcPr>
            <w:tcW w:w="180" w:type="dxa"/>
            <w:vAlign w:val="bottom"/>
            <w:tcBorders>
              <w:bottom w:val="single" w:sz="8" w:color="CCCCFF"/>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CCFF"/>
            </w:tcBorders>
            <w:shd w:val="clear" w:color="auto" w:fill="CCCCFF"/>
          </w:tcPr>
          <w:p>
            <w:pPr>
              <w:spacing w:after="0"/>
              <w:rPr>
                <w:sz w:val="21"/>
                <w:szCs w:val="21"/>
                <w:color w:val="auto"/>
              </w:rPr>
            </w:pPr>
          </w:p>
        </w:tc>
        <w:tc>
          <w:tcPr>
            <w:tcW w:w="1380" w:type="dxa"/>
            <w:vAlign w:val="bottom"/>
            <w:tcBorders>
              <w:bottom w:val="single" w:sz="8" w:color="0000FF"/>
            </w:tcBorders>
            <w:gridSpan w:val="6"/>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7"/>
              </w:rPr>
              <w:t>March 31, 2026</w:t>
            </w:r>
          </w:p>
        </w:tc>
        <w:tc>
          <w:tcPr>
            <w:tcW w:w="820" w:type="dxa"/>
            <w:vAlign w:val="bottom"/>
            <w:tcBorders>
              <w:bottom w:val="single" w:sz="8" w:color="CCCCFF"/>
            </w:tcBorders>
            <w:shd w:val="clear" w:color="auto" w:fill="CCCCFF"/>
          </w:tcPr>
          <w:p>
            <w:pPr>
              <w:spacing w:after="0"/>
              <w:rPr>
                <w:sz w:val="21"/>
                <w:szCs w:val="21"/>
                <w:color w:val="auto"/>
              </w:rPr>
            </w:pPr>
          </w:p>
        </w:tc>
        <w:tc>
          <w:tcPr>
            <w:tcW w:w="1220" w:type="dxa"/>
            <w:vAlign w:val="bottom"/>
            <w:tcBorders>
              <w:bottom w:val="single" w:sz="8" w:color="CCCCFF"/>
            </w:tcBorders>
            <w:gridSpan w:val="3"/>
            <w:shd w:val="clear" w:color="auto" w:fill="CCCCFF"/>
          </w:tcPr>
          <w:p>
            <w:pPr>
              <w:spacing w:after="0"/>
              <w:rPr>
                <w:sz w:val="21"/>
                <w:szCs w:val="21"/>
                <w:color w:val="auto"/>
              </w:rPr>
            </w:pPr>
          </w:p>
        </w:tc>
        <w:tc>
          <w:tcPr>
            <w:tcW w:w="980" w:type="dxa"/>
            <w:vAlign w:val="bottom"/>
            <w:tcBorders>
              <w:bottom w:val="single" w:sz="8" w:color="0000FF"/>
            </w:tcBorders>
            <w:shd w:val="clear" w:color="auto" w:fill="CC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bottom w:val="single" w:sz="8" w:color="CCCCFF"/>
              <w:right w:val="single" w:sz="8" w:color="CCCCFF"/>
            </w:tcBorders>
            <w:shd w:val="clear" w:color="auto" w:fill="CCCCFF"/>
          </w:tcPr>
          <w:p>
            <w:pPr>
              <w:spacing w:after="0"/>
              <w:rPr>
                <w:sz w:val="21"/>
                <w:szCs w:val="21"/>
                <w:color w:val="auto"/>
              </w:rPr>
            </w:pPr>
          </w:p>
        </w:tc>
        <w:tc>
          <w:tcPr>
            <w:tcW w:w="200" w:type="dxa"/>
            <w:vAlign w:val="bottom"/>
            <w:tcBorders>
              <w:bottom w:val="single" w:sz="8" w:color="CCCCFF"/>
            </w:tcBorders>
            <w:shd w:val="clear" w:color="auto" w:fill="CCCCFF"/>
          </w:tcPr>
          <w:p>
            <w:pPr>
              <w:spacing w:after="0"/>
              <w:rPr>
                <w:sz w:val="21"/>
                <w:szCs w:val="21"/>
                <w:color w:val="auto"/>
              </w:rPr>
            </w:pPr>
          </w:p>
        </w:tc>
        <w:tc>
          <w:tcPr>
            <w:tcW w:w="180" w:type="dxa"/>
            <w:vAlign w:val="bottom"/>
            <w:tcBorders>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2200" w:type="dxa"/>
            <w:vAlign w:val="bottom"/>
            <w:gridSpan w:val="7"/>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June 30, 2026</w:t>
            </w:r>
          </w:p>
        </w:tc>
        <w:tc>
          <w:tcPr>
            <w:tcW w:w="2200" w:type="dxa"/>
            <w:vAlign w:val="bottom"/>
            <w:gridSpan w:val="4"/>
            <w:shd w:val="clear" w:color="auto" w:fill="CCCCFF"/>
          </w:tcPr>
          <w:p>
            <w:pPr>
              <w:jc w:val="center"/>
              <w:ind w:left="1112"/>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right w:val="single" w:sz="8" w:color="CCCCFF"/>
            </w:tcBorders>
            <w:shd w:val="clear" w:color="auto" w:fill="CCCCFF"/>
          </w:tcPr>
          <w:p>
            <w:pPr>
              <w:spacing w:after="0"/>
              <w:rPr>
                <w:sz w:val="21"/>
                <w:szCs w:val="21"/>
                <w:color w:val="auto"/>
              </w:rPr>
            </w:pPr>
          </w:p>
        </w:tc>
        <w:tc>
          <w:tcPr>
            <w:tcW w:w="200" w:type="dxa"/>
            <w:vAlign w:val="bottom"/>
            <w:shd w:val="clear" w:color="auto" w:fill="CCCCFF"/>
          </w:tcPr>
          <w:p>
            <w:pPr>
              <w:spacing w:after="0"/>
              <w:rPr>
                <w:sz w:val="21"/>
                <w:szCs w:val="21"/>
                <w:color w:val="auto"/>
              </w:rPr>
            </w:pPr>
          </w:p>
        </w:tc>
        <w:tc>
          <w:tcPr>
            <w:tcW w:w="18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CC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CCCCFF"/>
          </w:tcPr>
          <w:p>
            <w:pPr>
              <w:spacing w:after="0" w:line="20" w:lineRule="exact"/>
              <w:rPr>
                <w:sz w:val="1"/>
                <w:szCs w:val="1"/>
                <w:color w:val="auto"/>
              </w:rPr>
            </w:pPr>
          </w:p>
        </w:tc>
        <w:tc>
          <w:tcPr>
            <w:tcW w:w="960" w:type="dxa"/>
            <w:vAlign w:val="bottom"/>
            <w:gridSpan w:val="3"/>
            <w:shd w:val="clear" w:color="auto" w:fill="CCCCFF"/>
          </w:tcPr>
          <w:p>
            <w:pPr>
              <w:spacing w:after="0" w:line="20" w:lineRule="exact"/>
              <w:rPr>
                <w:sz w:val="1"/>
                <w:szCs w:val="1"/>
                <w:color w:val="auto"/>
              </w:rPr>
            </w:pPr>
          </w:p>
        </w:tc>
        <w:tc>
          <w:tcPr>
            <w:tcW w:w="400" w:type="dxa"/>
            <w:vAlign w:val="bottom"/>
            <w:tcBorders>
              <w:right w:val="single" w:sz="8" w:color="CCCCFF"/>
            </w:tcBorders>
            <w:gridSpan w:val="2"/>
            <w:shd w:val="clear" w:color="auto" w:fill="CCCCFF"/>
          </w:tcPr>
          <w:p>
            <w:pPr>
              <w:spacing w:after="0" w:line="20" w:lineRule="exact"/>
              <w:rPr>
                <w:sz w:val="1"/>
                <w:szCs w:val="1"/>
                <w:color w:val="auto"/>
              </w:rPr>
            </w:pPr>
          </w:p>
        </w:tc>
        <w:tc>
          <w:tcPr>
            <w:tcW w:w="820" w:type="dxa"/>
            <w:vAlign w:val="bottom"/>
            <w:shd w:val="clear" w:color="auto" w:fill="CCCC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Borders>
              <w:right w:val="single" w:sz="8" w:color="CCCCFF"/>
            </w:tcBorders>
            <w:shd w:val="clear" w:color="auto" w:fill="CCCCFF"/>
          </w:tcPr>
          <w:p>
            <w:pPr>
              <w:spacing w:after="0" w:line="20" w:lineRule="exact"/>
              <w:rPr>
                <w:sz w:val="1"/>
                <w:szCs w:val="1"/>
                <w:color w:val="auto"/>
              </w:rPr>
            </w:pPr>
          </w:p>
        </w:tc>
        <w:tc>
          <w:tcPr>
            <w:tcW w:w="200" w:type="dxa"/>
            <w:vAlign w:val="bottom"/>
            <w:shd w:val="clear" w:color="auto" w:fill="CCCCFF"/>
          </w:tcPr>
          <w:p>
            <w:pPr>
              <w:spacing w:after="0" w:line="20" w:lineRule="exact"/>
              <w:rPr>
                <w:sz w:val="1"/>
                <w:szCs w:val="1"/>
                <w:color w:val="auto"/>
              </w:rPr>
            </w:pPr>
          </w:p>
        </w:tc>
        <w:tc>
          <w:tcPr>
            <w:tcW w:w="180" w:type="dxa"/>
            <w:vAlign w:val="bottom"/>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2200" w:type="dxa"/>
            <w:vAlign w:val="bottom"/>
            <w:gridSpan w:val="7"/>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Sept. 30, 2026</w:t>
            </w:r>
          </w:p>
        </w:tc>
        <w:tc>
          <w:tcPr>
            <w:tcW w:w="2200" w:type="dxa"/>
            <w:vAlign w:val="bottom"/>
            <w:gridSpan w:val="4"/>
            <w:shd w:val="clear" w:color="auto" w:fill="CCCCFF"/>
          </w:tcPr>
          <w:p>
            <w:pPr>
              <w:jc w:val="center"/>
              <w:ind w:left="1112"/>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right w:val="single" w:sz="8" w:color="CCCCFF"/>
            </w:tcBorders>
            <w:shd w:val="clear" w:color="auto" w:fill="CCCCFF"/>
          </w:tcPr>
          <w:p>
            <w:pPr>
              <w:spacing w:after="0"/>
              <w:rPr>
                <w:sz w:val="21"/>
                <w:szCs w:val="21"/>
                <w:color w:val="auto"/>
              </w:rPr>
            </w:pPr>
          </w:p>
        </w:tc>
        <w:tc>
          <w:tcPr>
            <w:tcW w:w="200" w:type="dxa"/>
            <w:vAlign w:val="bottom"/>
            <w:shd w:val="clear" w:color="auto" w:fill="CCCCFF"/>
          </w:tcPr>
          <w:p>
            <w:pPr>
              <w:spacing w:after="0"/>
              <w:rPr>
                <w:sz w:val="21"/>
                <w:szCs w:val="21"/>
                <w:color w:val="auto"/>
              </w:rPr>
            </w:pPr>
          </w:p>
        </w:tc>
        <w:tc>
          <w:tcPr>
            <w:tcW w:w="18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CCCCFF"/>
              <w:bottom w:val="single" w:sz="8" w:color="CCCCFF"/>
            </w:tcBorders>
            <w:shd w:val="clear" w:color="auto" w:fill="CCCCFF"/>
          </w:tcPr>
          <w:p>
            <w:pPr>
              <w:spacing w:after="0"/>
              <w:rPr>
                <w:sz w:val="21"/>
                <w:szCs w:val="21"/>
                <w:color w:val="auto"/>
              </w:rPr>
            </w:pPr>
          </w:p>
        </w:tc>
        <w:tc>
          <w:tcPr>
            <w:tcW w:w="1220" w:type="dxa"/>
            <w:vAlign w:val="bottom"/>
            <w:tcBorders>
              <w:top w:val="single" w:sz="8" w:color="0000FF"/>
              <w:bottom w:val="single" w:sz="8" w:color="0000FF"/>
            </w:tcBorders>
            <w:gridSpan w:val="3"/>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7"/>
              </w:rPr>
              <w:t>Dec. 31, 2026</w:t>
            </w:r>
          </w:p>
        </w:tc>
        <w:tc>
          <w:tcPr>
            <w:tcW w:w="20" w:type="dxa"/>
            <w:vAlign w:val="bottom"/>
            <w:tcBorders>
              <w:top w:val="single" w:sz="8" w:color="0000FF"/>
              <w:bottom w:val="single" w:sz="8" w:color="CCCCFF"/>
            </w:tcBorders>
            <w:shd w:val="clear" w:color="auto" w:fill="CCCCFF"/>
          </w:tcPr>
          <w:p>
            <w:pPr>
              <w:spacing w:after="0"/>
              <w:rPr>
                <w:sz w:val="21"/>
                <w:szCs w:val="21"/>
                <w:color w:val="auto"/>
              </w:rPr>
            </w:pPr>
          </w:p>
        </w:tc>
        <w:tc>
          <w:tcPr>
            <w:tcW w:w="960" w:type="dxa"/>
            <w:vAlign w:val="bottom"/>
            <w:tcBorders>
              <w:top w:val="single" w:sz="8" w:color="CCCCFF"/>
              <w:bottom w:val="single" w:sz="8" w:color="CCCCFF"/>
            </w:tcBorders>
            <w:gridSpan w:val="3"/>
            <w:shd w:val="clear" w:color="auto" w:fill="CCCCFF"/>
          </w:tcPr>
          <w:p>
            <w:pPr>
              <w:spacing w:after="0"/>
              <w:rPr>
                <w:sz w:val="21"/>
                <w:szCs w:val="21"/>
                <w:color w:val="auto"/>
              </w:rPr>
            </w:pPr>
          </w:p>
        </w:tc>
        <w:tc>
          <w:tcPr>
            <w:tcW w:w="1220" w:type="dxa"/>
            <w:vAlign w:val="bottom"/>
            <w:tcBorders>
              <w:top w:val="single" w:sz="8" w:color="CCCCFF"/>
              <w:bottom w:val="single" w:sz="8" w:color="CCCCFF"/>
            </w:tcBorders>
            <w:gridSpan w:val="3"/>
            <w:shd w:val="clear" w:color="auto" w:fill="CCCCFF"/>
          </w:tcPr>
          <w:p>
            <w:pPr>
              <w:spacing w:after="0"/>
              <w:rPr>
                <w:sz w:val="21"/>
                <w:szCs w:val="21"/>
                <w:color w:val="auto"/>
              </w:rPr>
            </w:pPr>
          </w:p>
        </w:tc>
        <w:tc>
          <w:tcPr>
            <w:tcW w:w="980" w:type="dxa"/>
            <w:vAlign w:val="bottom"/>
            <w:tcBorders>
              <w:top w:val="single" w:sz="8" w:color="0000FF"/>
              <w:bottom w:val="single" w:sz="8" w:color="0000FF"/>
            </w:tcBorders>
            <w:shd w:val="clear" w:color="auto" w:fill="CC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top w:val="single" w:sz="8" w:color="CCCCFF"/>
              <w:bottom w:val="single" w:sz="8" w:color="CCCCFF"/>
              <w:right w:val="single" w:sz="8" w:color="CCCCFF"/>
            </w:tcBorders>
            <w:shd w:val="clear" w:color="auto" w:fill="CCCCFF"/>
          </w:tcPr>
          <w:p>
            <w:pPr>
              <w:spacing w:after="0"/>
              <w:rPr>
                <w:sz w:val="21"/>
                <w:szCs w:val="21"/>
                <w:color w:val="auto"/>
              </w:rPr>
            </w:pPr>
          </w:p>
        </w:tc>
        <w:tc>
          <w:tcPr>
            <w:tcW w:w="200" w:type="dxa"/>
            <w:vAlign w:val="bottom"/>
            <w:tcBorders>
              <w:top w:val="single" w:sz="8" w:color="CCCCFF"/>
              <w:bottom w:val="single" w:sz="8" w:color="CCCCFF"/>
            </w:tcBorders>
            <w:shd w:val="clear" w:color="auto" w:fill="CCCCFF"/>
          </w:tcPr>
          <w:p>
            <w:pPr>
              <w:spacing w:after="0"/>
              <w:rPr>
                <w:sz w:val="21"/>
                <w:szCs w:val="21"/>
                <w:color w:val="auto"/>
              </w:rPr>
            </w:pPr>
          </w:p>
        </w:tc>
        <w:tc>
          <w:tcPr>
            <w:tcW w:w="180" w:type="dxa"/>
            <w:vAlign w:val="bottom"/>
            <w:tcBorders>
              <w:top w:val="single" w:sz="8" w:color="CCCCFF"/>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CCFF"/>
            </w:tcBorders>
            <w:shd w:val="clear" w:color="auto" w:fill="CCCCFF"/>
          </w:tcPr>
          <w:p>
            <w:pPr>
              <w:spacing w:after="0"/>
              <w:rPr>
                <w:sz w:val="21"/>
                <w:szCs w:val="21"/>
                <w:color w:val="auto"/>
              </w:rPr>
            </w:pPr>
          </w:p>
        </w:tc>
        <w:tc>
          <w:tcPr>
            <w:tcW w:w="1380" w:type="dxa"/>
            <w:vAlign w:val="bottom"/>
            <w:tcBorders>
              <w:bottom w:val="single" w:sz="8" w:color="0000FF"/>
            </w:tcBorders>
            <w:gridSpan w:val="6"/>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7"/>
              </w:rPr>
              <w:t>March 31, 2027</w:t>
            </w:r>
          </w:p>
        </w:tc>
        <w:tc>
          <w:tcPr>
            <w:tcW w:w="820" w:type="dxa"/>
            <w:vAlign w:val="bottom"/>
            <w:tcBorders>
              <w:bottom w:val="single" w:sz="8" w:color="CCCCFF"/>
            </w:tcBorders>
            <w:shd w:val="clear" w:color="auto" w:fill="CCCCFF"/>
          </w:tcPr>
          <w:p>
            <w:pPr>
              <w:spacing w:after="0"/>
              <w:rPr>
                <w:sz w:val="21"/>
                <w:szCs w:val="21"/>
                <w:color w:val="auto"/>
              </w:rPr>
            </w:pPr>
          </w:p>
        </w:tc>
        <w:tc>
          <w:tcPr>
            <w:tcW w:w="1220" w:type="dxa"/>
            <w:vAlign w:val="bottom"/>
            <w:tcBorders>
              <w:bottom w:val="single" w:sz="8" w:color="CCCCFF"/>
            </w:tcBorders>
            <w:gridSpan w:val="3"/>
            <w:shd w:val="clear" w:color="auto" w:fill="CCCCFF"/>
          </w:tcPr>
          <w:p>
            <w:pPr>
              <w:spacing w:after="0"/>
              <w:rPr>
                <w:sz w:val="21"/>
                <w:szCs w:val="21"/>
                <w:color w:val="auto"/>
              </w:rPr>
            </w:pPr>
          </w:p>
        </w:tc>
        <w:tc>
          <w:tcPr>
            <w:tcW w:w="980" w:type="dxa"/>
            <w:vAlign w:val="bottom"/>
            <w:tcBorders>
              <w:bottom w:val="single" w:sz="8" w:color="0000FF"/>
            </w:tcBorders>
            <w:shd w:val="clear" w:color="auto" w:fill="CC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bottom w:val="single" w:sz="8" w:color="CCCCFF"/>
              <w:right w:val="single" w:sz="8" w:color="CCCCFF"/>
            </w:tcBorders>
            <w:shd w:val="clear" w:color="auto" w:fill="CCCCFF"/>
          </w:tcPr>
          <w:p>
            <w:pPr>
              <w:spacing w:after="0"/>
              <w:rPr>
                <w:sz w:val="21"/>
                <w:szCs w:val="21"/>
                <w:color w:val="auto"/>
              </w:rPr>
            </w:pPr>
          </w:p>
        </w:tc>
        <w:tc>
          <w:tcPr>
            <w:tcW w:w="200" w:type="dxa"/>
            <w:vAlign w:val="bottom"/>
            <w:tcBorders>
              <w:bottom w:val="single" w:sz="8" w:color="CCCCFF"/>
            </w:tcBorders>
            <w:shd w:val="clear" w:color="auto" w:fill="CCCCFF"/>
          </w:tcPr>
          <w:p>
            <w:pPr>
              <w:spacing w:after="0"/>
              <w:rPr>
                <w:sz w:val="21"/>
                <w:szCs w:val="21"/>
                <w:color w:val="auto"/>
              </w:rPr>
            </w:pPr>
          </w:p>
        </w:tc>
        <w:tc>
          <w:tcPr>
            <w:tcW w:w="180" w:type="dxa"/>
            <w:vAlign w:val="bottom"/>
            <w:tcBorders>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2200" w:type="dxa"/>
            <w:vAlign w:val="bottom"/>
            <w:gridSpan w:val="7"/>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June 30, 2027</w:t>
            </w:r>
          </w:p>
        </w:tc>
        <w:tc>
          <w:tcPr>
            <w:tcW w:w="2200" w:type="dxa"/>
            <w:vAlign w:val="bottom"/>
            <w:gridSpan w:val="4"/>
            <w:shd w:val="clear" w:color="auto" w:fill="CCCCFF"/>
          </w:tcPr>
          <w:p>
            <w:pPr>
              <w:jc w:val="center"/>
              <w:ind w:left="1112"/>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right w:val="single" w:sz="8" w:color="CCCCFF"/>
            </w:tcBorders>
            <w:shd w:val="clear" w:color="auto" w:fill="CCCCFF"/>
          </w:tcPr>
          <w:p>
            <w:pPr>
              <w:spacing w:after="0"/>
              <w:rPr>
                <w:sz w:val="21"/>
                <w:szCs w:val="21"/>
                <w:color w:val="auto"/>
              </w:rPr>
            </w:pPr>
          </w:p>
        </w:tc>
        <w:tc>
          <w:tcPr>
            <w:tcW w:w="200" w:type="dxa"/>
            <w:vAlign w:val="bottom"/>
            <w:shd w:val="clear" w:color="auto" w:fill="CCCCFF"/>
          </w:tcPr>
          <w:p>
            <w:pPr>
              <w:spacing w:after="0"/>
              <w:rPr>
                <w:sz w:val="21"/>
                <w:szCs w:val="21"/>
                <w:color w:val="auto"/>
              </w:rPr>
            </w:pPr>
          </w:p>
        </w:tc>
        <w:tc>
          <w:tcPr>
            <w:tcW w:w="18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CC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CCCCFF"/>
          </w:tcPr>
          <w:p>
            <w:pPr>
              <w:spacing w:after="0" w:line="20" w:lineRule="exact"/>
              <w:rPr>
                <w:sz w:val="1"/>
                <w:szCs w:val="1"/>
                <w:color w:val="auto"/>
              </w:rPr>
            </w:pPr>
          </w:p>
        </w:tc>
        <w:tc>
          <w:tcPr>
            <w:tcW w:w="400" w:type="dxa"/>
            <w:vAlign w:val="bottom"/>
            <w:tcBorders>
              <w:right w:val="single" w:sz="8" w:color="CCCCFF"/>
            </w:tcBorders>
            <w:gridSpan w:val="2"/>
            <w:shd w:val="clear" w:color="auto" w:fill="CCCCFF"/>
          </w:tcPr>
          <w:p>
            <w:pPr>
              <w:spacing w:after="0" w:line="20" w:lineRule="exact"/>
              <w:rPr>
                <w:sz w:val="1"/>
                <w:szCs w:val="1"/>
                <w:color w:val="auto"/>
              </w:rPr>
            </w:pPr>
          </w:p>
        </w:tc>
        <w:tc>
          <w:tcPr>
            <w:tcW w:w="820" w:type="dxa"/>
            <w:vAlign w:val="bottom"/>
            <w:shd w:val="clear" w:color="auto" w:fill="CCCC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Borders>
              <w:right w:val="single" w:sz="8" w:color="CCCCFF"/>
            </w:tcBorders>
            <w:shd w:val="clear" w:color="auto" w:fill="CCCCFF"/>
          </w:tcPr>
          <w:p>
            <w:pPr>
              <w:spacing w:after="0" w:line="20" w:lineRule="exact"/>
              <w:rPr>
                <w:sz w:val="1"/>
                <w:szCs w:val="1"/>
                <w:color w:val="auto"/>
              </w:rPr>
            </w:pPr>
          </w:p>
        </w:tc>
        <w:tc>
          <w:tcPr>
            <w:tcW w:w="200" w:type="dxa"/>
            <w:vAlign w:val="bottom"/>
            <w:shd w:val="clear" w:color="auto" w:fill="CCCCFF"/>
          </w:tcPr>
          <w:p>
            <w:pPr>
              <w:spacing w:after="0" w:line="20" w:lineRule="exact"/>
              <w:rPr>
                <w:sz w:val="1"/>
                <w:szCs w:val="1"/>
                <w:color w:val="auto"/>
              </w:rPr>
            </w:pPr>
          </w:p>
        </w:tc>
        <w:tc>
          <w:tcPr>
            <w:tcW w:w="180" w:type="dxa"/>
            <w:vAlign w:val="bottom"/>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2200" w:type="dxa"/>
            <w:vAlign w:val="bottom"/>
            <w:gridSpan w:val="7"/>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Sept. 30, 2027</w:t>
            </w:r>
          </w:p>
        </w:tc>
        <w:tc>
          <w:tcPr>
            <w:tcW w:w="2200" w:type="dxa"/>
            <w:vAlign w:val="bottom"/>
            <w:gridSpan w:val="4"/>
            <w:shd w:val="clear" w:color="auto" w:fill="CCCCFF"/>
          </w:tcPr>
          <w:p>
            <w:pPr>
              <w:jc w:val="center"/>
              <w:ind w:left="1112"/>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right w:val="single" w:sz="8" w:color="CCCCFF"/>
            </w:tcBorders>
            <w:shd w:val="clear" w:color="auto" w:fill="CCCCFF"/>
          </w:tcPr>
          <w:p>
            <w:pPr>
              <w:spacing w:after="0"/>
              <w:rPr>
                <w:sz w:val="21"/>
                <w:szCs w:val="21"/>
                <w:color w:val="auto"/>
              </w:rPr>
            </w:pPr>
          </w:p>
        </w:tc>
        <w:tc>
          <w:tcPr>
            <w:tcW w:w="200" w:type="dxa"/>
            <w:vAlign w:val="bottom"/>
            <w:shd w:val="clear" w:color="auto" w:fill="CCCCFF"/>
          </w:tcPr>
          <w:p>
            <w:pPr>
              <w:spacing w:after="0"/>
              <w:rPr>
                <w:sz w:val="21"/>
                <w:szCs w:val="21"/>
                <w:color w:val="auto"/>
              </w:rPr>
            </w:pPr>
          </w:p>
        </w:tc>
        <w:tc>
          <w:tcPr>
            <w:tcW w:w="18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CCCCFF"/>
              <w:bottom w:val="single" w:sz="8" w:color="CCCCFF"/>
            </w:tcBorders>
            <w:shd w:val="clear" w:color="auto" w:fill="CCCCFF"/>
          </w:tcPr>
          <w:p>
            <w:pPr>
              <w:spacing w:after="0"/>
              <w:rPr>
                <w:sz w:val="21"/>
                <w:szCs w:val="21"/>
                <w:color w:val="auto"/>
              </w:rPr>
            </w:pPr>
          </w:p>
        </w:tc>
        <w:tc>
          <w:tcPr>
            <w:tcW w:w="1220" w:type="dxa"/>
            <w:vAlign w:val="bottom"/>
            <w:tcBorders>
              <w:top w:val="single" w:sz="8" w:color="0000FF"/>
              <w:bottom w:val="single" w:sz="8" w:color="0000FF"/>
            </w:tcBorders>
            <w:gridSpan w:val="3"/>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7"/>
              </w:rPr>
              <w:t>Dec. 31, 2027</w:t>
            </w:r>
          </w:p>
        </w:tc>
        <w:tc>
          <w:tcPr>
            <w:tcW w:w="20" w:type="dxa"/>
            <w:vAlign w:val="bottom"/>
            <w:tcBorders>
              <w:top w:val="single" w:sz="8" w:color="0000FF"/>
              <w:bottom w:val="single" w:sz="8" w:color="CCCCFF"/>
            </w:tcBorders>
            <w:shd w:val="clear" w:color="auto" w:fill="CCCCFF"/>
          </w:tcPr>
          <w:p>
            <w:pPr>
              <w:spacing w:after="0"/>
              <w:rPr>
                <w:sz w:val="21"/>
                <w:szCs w:val="21"/>
                <w:color w:val="auto"/>
              </w:rPr>
            </w:pPr>
          </w:p>
        </w:tc>
        <w:tc>
          <w:tcPr>
            <w:tcW w:w="960" w:type="dxa"/>
            <w:vAlign w:val="bottom"/>
            <w:tcBorders>
              <w:top w:val="single" w:sz="8" w:color="CCCCFF"/>
              <w:bottom w:val="single" w:sz="8" w:color="CCCCFF"/>
            </w:tcBorders>
            <w:gridSpan w:val="3"/>
            <w:shd w:val="clear" w:color="auto" w:fill="CCCCFF"/>
          </w:tcPr>
          <w:p>
            <w:pPr>
              <w:spacing w:after="0"/>
              <w:rPr>
                <w:sz w:val="21"/>
                <w:szCs w:val="21"/>
                <w:color w:val="auto"/>
              </w:rPr>
            </w:pPr>
          </w:p>
        </w:tc>
        <w:tc>
          <w:tcPr>
            <w:tcW w:w="1220" w:type="dxa"/>
            <w:vAlign w:val="bottom"/>
            <w:tcBorders>
              <w:top w:val="single" w:sz="8" w:color="CCCCFF"/>
              <w:bottom w:val="single" w:sz="8" w:color="CCCCFF"/>
            </w:tcBorders>
            <w:gridSpan w:val="3"/>
            <w:shd w:val="clear" w:color="auto" w:fill="CCCCFF"/>
          </w:tcPr>
          <w:p>
            <w:pPr>
              <w:spacing w:after="0"/>
              <w:rPr>
                <w:sz w:val="21"/>
                <w:szCs w:val="21"/>
                <w:color w:val="auto"/>
              </w:rPr>
            </w:pPr>
          </w:p>
        </w:tc>
        <w:tc>
          <w:tcPr>
            <w:tcW w:w="980" w:type="dxa"/>
            <w:vAlign w:val="bottom"/>
            <w:tcBorders>
              <w:top w:val="single" w:sz="8" w:color="0000FF"/>
              <w:bottom w:val="single" w:sz="8" w:color="0000FF"/>
            </w:tcBorders>
            <w:shd w:val="clear" w:color="auto" w:fill="CC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top w:val="single" w:sz="8" w:color="CCCCFF"/>
              <w:bottom w:val="single" w:sz="8" w:color="CCCCFF"/>
              <w:right w:val="single" w:sz="8" w:color="CCCCFF"/>
            </w:tcBorders>
            <w:shd w:val="clear" w:color="auto" w:fill="CCCCFF"/>
          </w:tcPr>
          <w:p>
            <w:pPr>
              <w:spacing w:after="0"/>
              <w:rPr>
                <w:sz w:val="21"/>
                <w:szCs w:val="21"/>
                <w:color w:val="auto"/>
              </w:rPr>
            </w:pPr>
          </w:p>
        </w:tc>
        <w:tc>
          <w:tcPr>
            <w:tcW w:w="200" w:type="dxa"/>
            <w:vAlign w:val="bottom"/>
            <w:tcBorders>
              <w:top w:val="single" w:sz="8" w:color="CCCCFF"/>
              <w:bottom w:val="single" w:sz="8" w:color="CCCCFF"/>
            </w:tcBorders>
            <w:shd w:val="clear" w:color="auto" w:fill="CCCCFF"/>
          </w:tcPr>
          <w:p>
            <w:pPr>
              <w:spacing w:after="0"/>
              <w:rPr>
                <w:sz w:val="21"/>
                <w:szCs w:val="21"/>
                <w:color w:val="auto"/>
              </w:rPr>
            </w:pPr>
          </w:p>
        </w:tc>
        <w:tc>
          <w:tcPr>
            <w:tcW w:w="180" w:type="dxa"/>
            <w:vAlign w:val="bottom"/>
            <w:tcBorders>
              <w:top w:val="single" w:sz="8" w:color="CCCCFF"/>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CCFF"/>
            </w:tcBorders>
            <w:shd w:val="clear" w:color="auto" w:fill="CCCCFF"/>
          </w:tcPr>
          <w:p>
            <w:pPr>
              <w:spacing w:after="0"/>
              <w:rPr>
                <w:sz w:val="21"/>
                <w:szCs w:val="21"/>
                <w:color w:val="auto"/>
              </w:rPr>
            </w:pPr>
          </w:p>
        </w:tc>
        <w:tc>
          <w:tcPr>
            <w:tcW w:w="1380" w:type="dxa"/>
            <w:vAlign w:val="bottom"/>
            <w:tcBorders>
              <w:bottom w:val="single" w:sz="8" w:color="0000FF"/>
            </w:tcBorders>
            <w:gridSpan w:val="6"/>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7"/>
              </w:rPr>
              <w:t>March 31, 2028</w:t>
            </w:r>
          </w:p>
        </w:tc>
        <w:tc>
          <w:tcPr>
            <w:tcW w:w="820" w:type="dxa"/>
            <w:vAlign w:val="bottom"/>
            <w:tcBorders>
              <w:bottom w:val="single" w:sz="8" w:color="CCCCFF"/>
            </w:tcBorders>
            <w:shd w:val="clear" w:color="auto" w:fill="CCCCFF"/>
          </w:tcPr>
          <w:p>
            <w:pPr>
              <w:spacing w:after="0"/>
              <w:rPr>
                <w:sz w:val="21"/>
                <w:szCs w:val="21"/>
                <w:color w:val="auto"/>
              </w:rPr>
            </w:pPr>
          </w:p>
        </w:tc>
        <w:tc>
          <w:tcPr>
            <w:tcW w:w="1220" w:type="dxa"/>
            <w:vAlign w:val="bottom"/>
            <w:tcBorders>
              <w:bottom w:val="single" w:sz="8" w:color="CCCCFF"/>
            </w:tcBorders>
            <w:gridSpan w:val="3"/>
            <w:shd w:val="clear" w:color="auto" w:fill="CCCCFF"/>
          </w:tcPr>
          <w:p>
            <w:pPr>
              <w:spacing w:after="0"/>
              <w:rPr>
                <w:sz w:val="21"/>
                <w:szCs w:val="21"/>
                <w:color w:val="auto"/>
              </w:rPr>
            </w:pPr>
          </w:p>
        </w:tc>
        <w:tc>
          <w:tcPr>
            <w:tcW w:w="980" w:type="dxa"/>
            <w:vAlign w:val="bottom"/>
            <w:tcBorders>
              <w:bottom w:val="single" w:sz="8" w:color="0000FF"/>
            </w:tcBorders>
            <w:shd w:val="clear" w:color="auto" w:fill="CC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2,766,920</w:t>
            </w:r>
          </w:p>
        </w:tc>
        <w:tc>
          <w:tcPr>
            <w:tcW w:w="840" w:type="dxa"/>
            <w:vAlign w:val="bottom"/>
            <w:tcBorders>
              <w:bottom w:val="single" w:sz="8" w:color="CCCCFF"/>
              <w:right w:val="single" w:sz="8" w:color="CCCCFF"/>
            </w:tcBorders>
            <w:shd w:val="clear" w:color="auto" w:fill="CCCCFF"/>
          </w:tcPr>
          <w:p>
            <w:pPr>
              <w:spacing w:after="0"/>
              <w:rPr>
                <w:sz w:val="21"/>
                <w:szCs w:val="21"/>
                <w:color w:val="auto"/>
              </w:rPr>
            </w:pPr>
          </w:p>
        </w:tc>
        <w:tc>
          <w:tcPr>
            <w:tcW w:w="200" w:type="dxa"/>
            <w:vAlign w:val="bottom"/>
            <w:tcBorders>
              <w:bottom w:val="single" w:sz="8" w:color="CCCCFF"/>
            </w:tcBorders>
            <w:shd w:val="clear" w:color="auto" w:fill="CCCCFF"/>
          </w:tcPr>
          <w:p>
            <w:pPr>
              <w:spacing w:after="0"/>
              <w:rPr>
                <w:sz w:val="21"/>
                <w:szCs w:val="21"/>
                <w:color w:val="auto"/>
              </w:rPr>
            </w:pPr>
          </w:p>
        </w:tc>
        <w:tc>
          <w:tcPr>
            <w:tcW w:w="180" w:type="dxa"/>
            <w:vAlign w:val="bottom"/>
            <w:tcBorders>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2200" w:type="dxa"/>
            <w:vAlign w:val="bottom"/>
            <w:gridSpan w:val="7"/>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April 9, 2028</w:t>
            </w:r>
          </w:p>
        </w:tc>
        <w:tc>
          <w:tcPr>
            <w:tcW w:w="180" w:type="dxa"/>
            <w:vAlign w:val="bottom"/>
            <w:shd w:val="clear" w:color="auto" w:fill="CCCCFF"/>
          </w:tcPr>
          <w:p>
            <w:pPr>
              <w:spacing w:after="0"/>
              <w:rPr>
                <w:sz w:val="21"/>
                <w:szCs w:val="21"/>
                <w:color w:val="auto"/>
              </w:rPr>
            </w:pPr>
          </w:p>
        </w:tc>
        <w:tc>
          <w:tcPr>
            <w:tcW w:w="220" w:type="dxa"/>
            <w:vAlign w:val="bottom"/>
            <w:tcBorders>
              <w:right w:val="single" w:sz="8" w:color="CCCCFF"/>
            </w:tcBorders>
            <w:shd w:val="clear" w:color="auto" w:fill="CCCCFF"/>
          </w:tcPr>
          <w:p>
            <w:pPr>
              <w:spacing w:after="0"/>
              <w:rPr>
                <w:sz w:val="21"/>
                <w:szCs w:val="21"/>
                <w:color w:val="auto"/>
              </w:rPr>
            </w:pPr>
          </w:p>
        </w:tc>
        <w:tc>
          <w:tcPr>
            <w:tcW w:w="3020" w:type="dxa"/>
            <w:vAlign w:val="bottom"/>
            <w:gridSpan w:val="5"/>
            <w:shd w:val="clear" w:color="auto" w:fill="CCCCFF"/>
          </w:tcPr>
          <w:p>
            <w:pPr>
              <w:jc w:val="center"/>
              <w:ind w:right="380"/>
              <w:spacing w:after="0" w:line="250" w:lineRule="exact"/>
              <w:rPr>
                <w:sz w:val="20"/>
                <w:szCs w:val="20"/>
                <w:color w:val="auto"/>
              </w:rPr>
            </w:pPr>
            <w:r>
              <w:rPr>
                <w:rFonts w:ascii="Times New Roman" w:cs="Times New Roman" w:eastAsia="Times New Roman" w:hAnsi="Times New Roman"/>
                <w:sz w:val="22"/>
                <w:szCs w:val="22"/>
                <w:color w:val="0000FF"/>
                <w:w w:val="97"/>
              </w:rPr>
              <w:t>Outstanding Principal Amount</w:t>
            </w:r>
          </w:p>
        </w:tc>
        <w:tc>
          <w:tcPr>
            <w:tcW w:w="0" w:type="dxa"/>
            <w:vAlign w:val="bottom"/>
          </w:tcPr>
          <w:p>
            <w:pPr>
              <w:spacing w:after="0"/>
              <w:rPr>
                <w:sz w:val="1"/>
                <w:szCs w:val="1"/>
                <w:color w:val="auto"/>
              </w:rPr>
            </w:pPr>
          </w:p>
        </w:tc>
      </w:tr>
      <w:tr>
        <w:trPr>
          <w:trHeight w:val="34"/>
        </w:trPr>
        <w:tc>
          <w:tcPr>
            <w:tcW w:w="80" w:type="dxa"/>
            <w:vAlign w:val="bottom"/>
            <w:tcBorders>
              <w:top w:val="single" w:sz="8" w:color="CCCCFF"/>
            </w:tcBorders>
            <w:shd w:val="clear" w:color="auto" w:fill="CCCCFF"/>
          </w:tcPr>
          <w:p>
            <w:pPr>
              <w:spacing w:after="0"/>
              <w:rPr>
                <w:sz w:val="2"/>
                <w:szCs w:val="2"/>
                <w:color w:val="auto"/>
              </w:rPr>
            </w:pPr>
          </w:p>
        </w:tc>
        <w:tc>
          <w:tcPr>
            <w:tcW w:w="840" w:type="dxa"/>
            <w:vAlign w:val="bottom"/>
            <w:tcBorders>
              <w:top w:val="single" w:sz="8" w:color="0000FF"/>
            </w:tcBorders>
            <w:shd w:val="clear" w:color="auto" w:fill="CCCCFF"/>
          </w:tcPr>
          <w:p>
            <w:pPr>
              <w:spacing w:after="0"/>
              <w:rPr>
                <w:sz w:val="2"/>
                <w:szCs w:val="2"/>
                <w:color w:val="auto"/>
              </w:rPr>
            </w:pPr>
          </w:p>
        </w:tc>
        <w:tc>
          <w:tcPr>
            <w:tcW w:w="360" w:type="dxa"/>
            <w:vAlign w:val="bottom"/>
            <w:tcBorders>
              <w:top w:val="single" w:sz="8" w:color="0000FF"/>
              <w:right w:val="single" w:sz="8" w:color="CCCCFF"/>
            </w:tcBorders>
            <w:shd w:val="clear" w:color="auto" w:fill="CCCCFF"/>
          </w:tcPr>
          <w:p>
            <w:pPr>
              <w:spacing w:after="0"/>
              <w:rPr>
                <w:sz w:val="2"/>
                <w:szCs w:val="2"/>
                <w:color w:val="auto"/>
              </w:rPr>
            </w:pPr>
          </w:p>
        </w:tc>
        <w:tc>
          <w:tcPr>
            <w:tcW w:w="20" w:type="dxa"/>
            <w:vAlign w:val="bottom"/>
            <w:tcBorders>
              <w:top w:val="single" w:sz="8" w:color="CCCCFF"/>
            </w:tcBorders>
            <w:shd w:val="clear" w:color="auto" w:fill="CCCCFF"/>
          </w:tcPr>
          <w:p>
            <w:pPr>
              <w:spacing w:after="0"/>
              <w:rPr>
                <w:sz w:val="2"/>
                <w:szCs w:val="2"/>
                <w:color w:val="auto"/>
              </w:rPr>
            </w:pPr>
          </w:p>
        </w:tc>
        <w:tc>
          <w:tcPr>
            <w:tcW w:w="2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100" w:type="dxa"/>
            <w:vAlign w:val="bottom"/>
            <w:tcBorders>
              <w:top w:val="single" w:sz="8" w:color="CCCCFF"/>
            </w:tcBorders>
            <w:shd w:val="clear" w:color="auto" w:fill="CCCCFF"/>
          </w:tcPr>
          <w:p>
            <w:pPr>
              <w:spacing w:after="0"/>
              <w:rPr>
                <w:sz w:val="2"/>
                <w:szCs w:val="2"/>
                <w:color w:val="auto"/>
              </w:rPr>
            </w:pPr>
          </w:p>
        </w:tc>
        <w:tc>
          <w:tcPr>
            <w:tcW w:w="82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CCCCFF"/>
            </w:tcBorders>
            <w:shd w:val="clear" w:color="auto" w:fill="CCCCFF"/>
          </w:tcPr>
          <w:p>
            <w:pPr>
              <w:spacing w:after="0"/>
              <w:rPr>
                <w:sz w:val="2"/>
                <w:szCs w:val="2"/>
                <w:color w:val="auto"/>
              </w:rPr>
            </w:pPr>
          </w:p>
        </w:tc>
        <w:tc>
          <w:tcPr>
            <w:tcW w:w="220" w:type="dxa"/>
            <w:vAlign w:val="bottom"/>
            <w:tcBorders>
              <w:top w:val="single" w:sz="8" w:color="CCCCFF"/>
              <w:right w:val="single" w:sz="8" w:color="CCCCFF"/>
            </w:tcBorders>
            <w:shd w:val="clear" w:color="auto" w:fill="CCCCFF"/>
          </w:tcPr>
          <w:p>
            <w:pPr>
              <w:spacing w:after="0"/>
              <w:rPr>
                <w:sz w:val="2"/>
                <w:szCs w:val="2"/>
                <w:color w:val="auto"/>
              </w:rPr>
            </w:pPr>
          </w:p>
        </w:tc>
        <w:tc>
          <w:tcPr>
            <w:tcW w:w="820" w:type="dxa"/>
            <w:vAlign w:val="bottom"/>
            <w:tcBorders>
              <w:top w:val="single" w:sz="8" w:color="0000FF"/>
            </w:tcBorders>
            <w:shd w:val="clear" w:color="auto" w:fill="CCCCFF"/>
          </w:tcPr>
          <w:p>
            <w:pPr>
              <w:spacing w:after="0"/>
              <w:rPr>
                <w:sz w:val="2"/>
                <w:szCs w:val="2"/>
                <w:color w:val="auto"/>
              </w:rPr>
            </w:pPr>
          </w:p>
        </w:tc>
        <w:tc>
          <w:tcPr>
            <w:tcW w:w="980" w:type="dxa"/>
            <w:vAlign w:val="bottom"/>
            <w:tcBorders>
              <w:top w:val="single" w:sz="8" w:color="0000FF"/>
            </w:tcBorders>
            <w:shd w:val="clear" w:color="auto" w:fill="CCCCFF"/>
          </w:tcPr>
          <w:p>
            <w:pPr>
              <w:spacing w:after="0"/>
              <w:rPr>
                <w:sz w:val="2"/>
                <w:szCs w:val="2"/>
                <w:color w:val="auto"/>
              </w:rPr>
            </w:pPr>
          </w:p>
        </w:tc>
        <w:tc>
          <w:tcPr>
            <w:tcW w:w="840" w:type="dxa"/>
            <w:vAlign w:val="bottom"/>
            <w:tcBorders>
              <w:top w:val="single" w:sz="8" w:color="0000FF"/>
              <w:right w:val="single" w:sz="8" w:color="CCCCFF"/>
            </w:tcBorders>
            <w:shd w:val="clear" w:color="auto" w:fill="CCCCFF"/>
          </w:tcPr>
          <w:p>
            <w:pPr>
              <w:spacing w:after="0"/>
              <w:rPr>
                <w:sz w:val="2"/>
                <w:szCs w:val="2"/>
                <w:color w:val="auto"/>
              </w:rPr>
            </w:pPr>
          </w:p>
        </w:tc>
        <w:tc>
          <w:tcPr>
            <w:tcW w:w="20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CCCCFF"/>
            </w:tcBorders>
            <w:shd w:val="clear" w:color="auto" w:fill="CCC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0000FF"/>
        </w:rPr>
        <w:t xml:space="preserve">provided, however, that the final principal repayment installment </w:t>
      </w:r>
      <w:r>
        <w:rPr>
          <w:rFonts w:ascii="Times New Roman" w:cs="Times New Roman" w:eastAsia="Times New Roman" w:hAnsi="Times New Roman"/>
          <w:sz w:val="22"/>
          <w:szCs w:val="22"/>
          <w:u w:val="single" w:color="auto"/>
          <w:color w:val="00CC00"/>
        </w:rPr>
        <w:t>of the Non-Extended Term A</w:t>
      </w:r>
      <w:r>
        <w:rPr>
          <w:rFonts w:ascii="Times New Roman" w:cs="Times New Roman" w:eastAsia="Times New Roman" w:hAnsi="Times New Roman"/>
          <w:sz w:val="22"/>
          <w:szCs w:val="22"/>
          <w:u w:val="single" w:color="auto"/>
          <w:color w:val="0000FF"/>
        </w:rPr>
        <w:t xml:space="preserve"> Loans shall be repaid on the Maturity Date for the Non-Extended Term A Facility and in any event shall be in an amount equal to the aggregate principal amount of all Non-Extended Term A Loans outstanding on such date; and provided further, that with the prior written consent of the Non-Extended Term A Lenders holding at least 10% of the outstanding Non-Extended Term A Loans, such consenting Non-Extended Term A Lenders can extend the amortization schedule and the maturity of their Non-Extended Term A Loans as agreed upon among such consenting Non-Extended Term A Lenders and the Company (with the new amortization schedule and Maturity Date thereafter applying to such Non-Extended Term A Loans), and the Borrower may pay additional interest or an extension fee to, and as agreed with, such consenting Non-Extended Term A Lenders with respect to such extension, without having any obligation to make any additional payments with respect to such extension to non-consenting Non-Extended Term A Lenders (and the pro rata payment provisions of Section 2.12 shall automatically be deemed adjusted to reflect the provisions of this Section).</w:t>
      </w:r>
    </w:p>
    <w:p>
      <w:pPr>
        <w:spacing w:after="0" w:line="189" w:lineRule="exact"/>
        <w:rPr>
          <w:sz w:val="20"/>
          <w:szCs w:val="20"/>
          <w:color w:val="auto"/>
        </w:rPr>
      </w:pPr>
    </w:p>
    <w:p>
      <w:pPr>
        <w:jc w:val="both"/>
        <w:ind w:left="660" w:firstLine="644"/>
        <w:spacing w:after="0" w:line="253" w:lineRule="auto"/>
        <w:tabs>
          <w:tab w:leader="none" w:pos="1963"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Following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and after giving effect to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Transactions, the Borrower shall repay to the Extended Term A Lenders the aggregate principal amount of all Extended Term A Loans outstanding on the following dates in the respective amounts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9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73"/>
        </w:trPr>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Borders>
              <w:bottom w:val="single" w:sz="8" w:color="FECAF4"/>
            </w:tcBorders>
            <w:shd w:val="clear" w:color="auto" w:fill="FECAF4"/>
          </w:tcPr>
          <w:p>
            <w:pPr>
              <w:spacing w:after="0"/>
              <w:rPr>
                <w:sz w:val="23"/>
                <w:szCs w:val="23"/>
                <w:color w:val="auto"/>
              </w:rPr>
            </w:pPr>
          </w:p>
        </w:tc>
        <w:tc>
          <w:tcPr>
            <w:tcW w:w="2140" w:type="dxa"/>
            <w:vAlign w:val="bottom"/>
            <w:tcBorders>
              <w:bottom w:val="single" w:sz="8" w:color="FECAF4"/>
            </w:tcBorders>
            <w:gridSpan w:val="4"/>
            <w:vMerge w:val="restart"/>
            <w:shd w:val="clear" w:color="auto" w:fill="FECAF4"/>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8"/>
              </w:rPr>
              <w:t>Principal Amortization</w:t>
            </w:r>
          </w:p>
        </w:tc>
        <w:tc>
          <w:tcPr>
            <w:tcW w:w="280" w:type="dxa"/>
            <w:vAlign w:val="bottom"/>
            <w:tcBorders>
              <w:bottom w:val="single" w:sz="8" w:color="FECAF4"/>
            </w:tcBorders>
            <w:shd w:val="clear" w:color="auto" w:fill="FECAF4"/>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FF0000"/>
                <w:strike w:val="1"/>
                <w:w w:val="95"/>
              </w:rPr>
              <w:t>Date</w:t>
            </w:r>
          </w:p>
        </w:tc>
        <w:tc>
          <w:tcPr>
            <w:tcW w:w="2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b w:val="1"/>
                <w:bCs w:val="1"/>
                <w:color w:val="0000FF"/>
                <w:w w:val="95"/>
              </w:rPr>
              <w:t>Extended Term A Loan</w:t>
            </w:r>
          </w:p>
        </w:tc>
        <w:tc>
          <w:tcPr>
            <w:tcW w:w="160" w:type="dxa"/>
            <w:vAlign w:val="bottom"/>
            <w:vMerge w:val="restart"/>
          </w:tcPr>
          <w:p>
            <w:pPr>
              <w:spacing w:after="0"/>
              <w:rPr>
                <w:sz w:val="23"/>
                <w:szCs w:val="23"/>
                <w:color w:val="auto"/>
              </w:rPr>
            </w:pPr>
          </w:p>
        </w:tc>
        <w:tc>
          <w:tcPr>
            <w:tcW w:w="80" w:type="dxa"/>
            <w:vAlign w:val="bottom"/>
            <w:vMerge w:val="restart"/>
          </w:tcPr>
          <w:p>
            <w:pPr>
              <w:spacing w:after="0"/>
              <w:rPr>
                <w:sz w:val="23"/>
                <w:szCs w:val="23"/>
                <w:color w:val="auto"/>
              </w:rPr>
            </w:pPr>
          </w:p>
        </w:tc>
        <w:tc>
          <w:tcPr>
            <w:tcW w:w="60" w:type="dxa"/>
            <w:vAlign w:val="bottom"/>
            <w:vMerge w:val="restart"/>
          </w:tcPr>
          <w:p>
            <w:pPr>
              <w:spacing w:after="0"/>
              <w:rPr>
                <w:sz w:val="23"/>
                <w:szCs w:val="23"/>
                <w:color w:val="auto"/>
              </w:rPr>
            </w:pPr>
          </w:p>
        </w:tc>
        <w:tc>
          <w:tcPr>
            <w:tcW w:w="140" w:type="dxa"/>
            <w:vAlign w:val="bottom"/>
            <w:vMerge w:val="restart"/>
          </w:tcPr>
          <w:p>
            <w:pPr>
              <w:spacing w:after="0"/>
              <w:rPr>
                <w:sz w:val="23"/>
                <w:szCs w:val="23"/>
                <w:color w:val="auto"/>
              </w:rPr>
            </w:pPr>
          </w:p>
        </w:tc>
        <w:tc>
          <w:tcPr>
            <w:tcW w:w="160" w:type="dxa"/>
            <w:vAlign w:val="bottom"/>
            <w:tcBorders>
              <w:bottom w:val="single" w:sz="8" w:color="FECAF4"/>
            </w:tcBorders>
            <w:vMerge w:val="restart"/>
            <w:shd w:val="clear" w:color="auto" w:fill="FECAF4"/>
          </w:tcPr>
          <w:p>
            <w:pPr>
              <w:spacing w:after="0"/>
              <w:rPr>
                <w:sz w:val="23"/>
                <w:szCs w:val="23"/>
                <w:color w:val="auto"/>
              </w:rPr>
            </w:pPr>
          </w:p>
        </w:tc>
        <w:tc>
          <w:tcPr>
            <w:tcW w:w="160" w:type="dxa"/>
            <w:vAlign w:val="bottom"/>
            <w:tcBorders>
              <w:bottom w:val="single" w:sz="8" w:color="FECAF4"/>
            </w:tcBorders>
            <w:vMerge w:val="restart"/>
            <w:shd w:val="clear" w:color="auto" w:fill="FECAF4"/>
          </w:tcPr>
          <w:p>
            <w:pPr>
              <w:spacing w:after="0"/>
              <w:rPr>
                <w:sz w:val="23"/>
                <w:szCs w:val="23"/>
                <w:color w:val="auto"/>
              </w:rPr>
            </w:pPr>
          </w:p>
        </w:tc>
        <w:tc>
          <w:tcPr>
            <w:tcW w:w="2480" w:type="dxa"/>
            <w:vAlign w:val="bottom"/>
            <w:tcBorders>
              <w:bottom w:val="single" w:sz="8" w:color="FECAF4"/>
            </w:tcBorders>
            <w:gridSpan w:val="5"/>
            <w:vMerge w:val="restart"/>
            <w:shd w:val="clear" w:color="auto" w:fill="FECAF4"/>
          </w:tcPr>
          <w:p>
            <w:pPr>
              <w:jc w:val="center"/>
              <w:ind w:right="340"/>
              <w:spacing w:after="0"/>
              <w:rPr>
                <w:sz w:val="20"/>
                <w:szCs w:val="20"/>
                <w:color w:val="auto"/>
              </w:rPr>
            </w:pPr>
            <w:r>
              <w:rPr>
                <w:rFonts w:ascii="Times New Roman" w:cs="Times New Roman" w:eastAsia="Times New Roman" w:hAnsi="Times New Roman"/>
                <w:sz w:val="22"/>
                <w:szCs w:val="22"/>
                <w:b w:val="1"/>
                <w:bCs w:val="1"/>
                <w:color w:val="FF0000"/>
                <w:strike w:val="1"/>
                <w:w w:val="98"/>
              </w:rPr>
              <w:t>Principal Amortization</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140" w:type="dxa"/>
            <w:vAlign w:val="bottom"/>
            <w:gridSpan w:val="4"/>
            <w:vMerge w:val="continue"/>
            <w:shd w:val="clear" w:color="auto" w:fill="FECAF4"/>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shd w:val="clear" w:color="auto" w:fill="FECAF4"/>
          </w:tcPr>
          <w:p>
            <w:pPr>
              <w:spacing w:after="0" w:line="20" w:lineRule="exact"/>
              <w:rPr>
                <w:sz w:val="1"/>
                <w:szCs w:val="1"/>
                <w:color w:val="auto"/>
              </w:rPr>
            </w:pPr>
          </w:p>
        </w:tc>
        <w:tc>
          <w:tcPr>
            <w:tcW w:w="160" w:type="dxa"/>
            <w:vAlign w:val="bottom"/>
            <w:vMerge w:val="continue"/>
            <w:shd w:val="clear" w:color="auto" w:fill="FECAF4"/>
          </w:tcPr>
          <w:p>
            <w:pPr>
              <w:spacing w:after="0" w:line="20" w:lineRule="exact"/>
              <w:rPr>
                <w:sz w:val="1"/>
                <w:szCs w:val="1"/>
                <w:color w:val="auto"/>
              </w:rPr>
            </w:pPr>
          </w:p>
        </w:tc>
        <w:tc>
          <w:tcPr>
            <w:tcW w:w="2480" w:type="dxa"/>
            <w:vAlign w:val="bottom"/>
            <w:gridSpan w:val="5"/>
            <w:vMerge w:val="continue"/>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Date</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FECAF4"/>
          </w:tcPr>
          <w:p>
            <w:pPr>
              <w:spacing w:after="0"/>
              <w:rPr>
                <w:sz w:val="24"/>
                <w:szCs w:val="24"/>
                <w:color w:val="auto"/>
              </w:rPr>
            </w:pPr>
          </w:p>
        </w:tc>
        <w:tc>
          <w:tcPr>
            <w:tcW w:w="420" w:type="dxa"/>
            <w:vAlign w:val="bottom"/>
            <w:tcBorders>
              <w:bottom w:val="single" w:sz="8" w:color="auto"/>
            </w:tcBorders>
            <w:shd w:val="clear" w:color="auto" w:fill="FECAF4"/>
          </w:tcPr>
          <w:p>
            <w:pPr>
              <w:spacing w:after="0"/>
              <w:rPr>
                <w:sz w:val="24"/>
                <w:szCs w:val="24"/>
                <w:color w:val="auto"/>
              </w:rPr>
            </w:pPr>
          </w:p>
        </w:tc>
        <w:tc>
          <w:tcPr>
            <w:tcW w:w="160" w:type="dxa"/>
            <w:vAlign w:val="bottom"/>
            <w:tcBorders>
              <w:bottom w:val="single" w:sz="8" w:color="auto"/>
            </w:tcBorders>
            <w:shd w:val="clear" w:color="auto" w:fill="FECAF4"/>
          </w:tcPr>
          <w:p>
            <w:pPr>
              <w:spacing w:after="0"/>
              <w:rPr>
                <w:sz w:val="24"/>
                <w:szCs w:val="24"/>
                <w:color w:val="auto"/>
              </w:rPr>
            </w:pPr>
          </w:p>
        </w:tc>
        <w:tc>
          <w:tcPr>
            <w:tcW w:w="980" w:type="dxa"/>
            <w:vAlign w:val="bottom"/>
            <w:tcBorders>
              <w:bottom w:val="single" w:sz="8" w:color="auto"/>
            </w:tcBorders>
            <w:shd w:val="clear" w:color="auto" w:fill="FECAF4"/>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FF0000"/>
                <w:strike w:val="1"/>
                <w:w w:val="96"/>
              </w:rPr>
              <w:t>Payment</w:t>
            </w:r>
          </w:p>
        </w:tc>
        <w:tc>
          <w:tcPr>
            <w:tcW w:w="860" w:type="dxa"/>
            <w:vAlign w:val="bottom"/>
            <w:tcBorders>
              <w:bottom w:val="single" w:sz="8" w:color="auto"/>
            </w:tcBorders>
            <w:gridSpan w:val="2"/>
            <w:shd w:val="clear" w:color="auto" w:fill="FECAF4"/>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7"/>
          </w:tcPr>
          <w:p>
            <w:pPr>
              <w:jc w:val="center"/>
              <w:ind w:right="260"/>
              <w:spacing w:after="0" w:line="196" w:lineRule="exact"/>
              <w:rPr>
                <w:sz w:val="20"/>
                <w:szCs w:val="20"/>
                <w:color w:val="auto"/>
              </w:rPr>
            </w:pPr>
            <w:r>
              <w:rPr>
                <w:rFonts w:ascii="Times New Roman" w:cs="Times New Roman" w:eastAsia="Times New Roman" w:hAnsi="Times New Roman"/>
                <w:sz w:val="22"/>
                <w:szCs w:val="22"/>
                <w:b w:val="1"/>
                <w:bCs w:val="1"/>
                <w:color w:val="0000FF"/>
                <w:w w:val="97"/>
              </w:rPr>
              <w:t>Principal Amortization Payment</w:t>
            </w:r>
          </w:p>
        </w:tc>
        <w:tc>
          <w:tcPr>
            <w:tcW w:w="160" w:type="dxa"/>
            <w:vAlign w:val="bottom"/>
            <w:tcBorders>
              <w:bottom w:val="single" w:sz="8" w:color="auto"/>
            </w:tcBorders>
            <w:shd w:val="clear" w:color="auto" w:fill="FECAF4"/>
          </w:tcPr>
          <w:p>
            <w:pPr>
              <w:spacing w:after="0"/>
              <w:rPr>
                <w:sz w:val="24"/>
                <w:szCs w:val="24"/>
                <w:color w:val="auto"/>
              </w:rPr>
            </w:pPr>
          </w:p>
        </w:tc>
        <w:tc>
          <w:tcPr>
            <w:tcW w:w="160" w:type="dxa"/>
            <w:vAlign w:val="bottom"/>
            <w:tcBorders>
              <w:bottom w:val="single" w:sz="8" w:color="auto"/>
            </w:tcBorders>
            <w:shd w:val="clear" w:color="auto" w:fill="FECAF4"/>
          </w:tcPr>
          <w:p>
            <w:pPr>
              <w:spacing w:after="0"/>
              <w:rPr>
                <w:sz w:val="24"/>
                <w:szCs w:val="24"/>
                <w:color w:val="auto"/>
              </w:rPr>
            </w:pPr>
          </w:p>
        </w:tc>
        <w:tc>
          <w:tcPr>
            <w:tcW w:w="260" w:type="dxa"/>
            <w:vAlign w:val="bottom"/>
            <w:tcBorders>
              <w:bottom w:val="single" w:sz="8" w:color="auto"/>
            </w:tcBorders>
            <w:shd w:val="clear" w:color="auto" w:fill="FECAF4"/>
          </w:tcPr>
          <w:p>
            <w:pPr>
              <w:spacing w:after="0"/>
              <w:rPr>
                <w:sz w:val="24"/>
                <w:szCs w:val="24"/>
                <w:color w:val="auto"/>
              </w:rPr>
            </w:pPr>
          </w:p>
        </w:tc>
        <w:tc>
          <w:tcPr>
            <w:tcW w:w="320" w:type="dxa"/>
            <w:vAlign w:val="bottom"/>
            <w:tcBorders>
              <w:bottom w:val="single" w:sz="8" w:color="auto"/>
            </w:tcBorders>
            <w:shd w:val="clear" w:color="auto" w:fill="FECAF4"/>
          </w:tcPr>
          <w:p>
            <w:pPr>
              <w:spacing w:after="0"/>
              <w:rPr>
                <w:sz w:val="24"/>
                <w:szCs w:val="24"/>
                <w:color w:val="auto"/>
              </w:rPr>
            </w:pPr>
          </w:p>
        </w:tc>
        <w:tc>
          <w:tcPr>
            <w:tcW w:w="940" w:type="dxa"/>
            <w:vAlign w:val="bottom"/>
            <w:tcBorders>
              <w:bottom w:val="single" w:sz="8" w:color="auto"/>
            </w:tcBorders>
            <w:shd w:val="clear" w:color="auto" w:fill="FECAF4"/>
          </w:tcPr>
          <w:p>
            <w:pPr>
              <w:ind w:left="60"/>
              <w:spacing w:after="0" w:line="196" w:lineRule="exact"/>
              <w:rPr>
                <w:sz w:val="20"/>
                <w:szCs w:val="20"/>
                <w:color w:val="auto"/>
              </w:rPr>
            </w:pPr>
            <w:r>
              <w:rPr>
                <w:rFonts w:ascii="Times New Roman" w:cs="Times New Roman" w:eastAsia="Times New Roman" w:hAnsi="Times New Roman"/>
                <w:sz w:val="22"/>
                <w:szCs w:val="22"/>
                <w:b w:val="1"/>
                <w:bCs w:val="1"/>
                <w:color w:val="FF0000"/>
                <w:strike w:val="1"/>
              </w:rPr>
              <w:t>Payment</w:t>
            </w:r>
          </w:p>
        </w:tc>
        <w:tc>
          <w:tcPr>
            <w:tcW w:w="40" w:type="dxa"/>
            <w:vAlign w:val="bottom"/>
            <w:tcBorders>
              <w:bottom w:val="single" w:sz="8" w:color="auto"/>
            </w:tcBorders>
            <w:shd w:val="clear" w:color="auto" w:fill="FECAF4"/>
          </w:tcPr>
          <w:p>
            <w:pPr>
              <w:spacing w:after="0"/>
              <w:rPr>
                <w:sz w:val="24"/>
                <w:szCs w:val="24"/>
                <w:color w:val="auto"/>
              </w:rPr>
            </w:pPr>
          </w:p>
        </w:tc>
        <w:tc>
          <w:tcPr>
            <w:tcW w:w="920" w:type="dxa"/>
            <w:vAlign w:val="bottom"/>
            <w:tcBorders>
              <w:bottom w:val="single" w:sz="8" w:color="auto"/>
            </w:tcBorders>
            <w:shd w:val="clear" w:color="auto" w:fill="FECAF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CCCCFF"/>
            </w:tcBorders>
            <w:shd w:val="clear" w:color="auto" w:fill="CCCCFF"/>
          </w:tcPr>
          <w:p>
            <w:pPr>
              <w:spacing w:after="0"/>
              <w:rPr>
                <w:sz w:val="18"/>
                <w:szCs w:val="18"/>
                <w:color w:val="auto"/>
              </w:rPr>
            </w:pPr>
          </w:p>
        </w:tc>
        <w:tc>
          <w:tcPr>
            <w:tcW w:w="1260" w:type="dxa"/>
            <w:vAlign w:val="bottom"/>
            <w:tcBorders>
              <w:bottom w:val="single" w:sz="8" w:color="0000FF"/>
              <w:right w:val="single" w:sz="8" w:color="CCCCFF"/>
            </w:tcBorders>
            <w:gridSpan w:val="10"/>
            <w:shd w:val="clear" w:color="auto" w:fill="CCCCFF"/>
          </w:tcPr>
          <w:p>
            <w:pPr>
              <w:spacing w:after="0" w:line="209" w:lineRule="exact"/>
              <w:rPr>
                <w:sz w:val="20"/>
                <w:szCs w:val="20"/>
                <w:color w:val="auto"/>
              </w:rPr>
            </w:pPr>
            <w:r>
              <w:rPr>
                <w:rFonts w:ascii="Times New Roman" w:cs="Times New Roman" w:eastAsia="Times New Roman" w:hAnsi="Times New Roman"/>
                <w:sz w:val="22"/>
                <w:szCs w:val="22"/>
                <w:color w:val="0000FF"/>
                <w:w w:val="98"/>
              </w:rPr>
              <w:t>Dec. 31, 2025</w:t>
            </w:r>
          </w:p>
        </w:tc>
        <w:tc>
          <w:tcPr>
            <w:tcW w:w="660" w:type="dxa"/>
            <w:vAlign w:val="bottom"/>
            <w:tcBorders>
              <w:left w:val="single" w:sz="8" w:color="CCCCFF"/>
              <w:bottom w:val="single" w:sz="8" w:color="CCCCFF"/>
            </w:tcBorders>
            <w:gridSpan w:val="6"/>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420" w:type="dxa"/>
            <w:vAlign w:val="bottom"/>
            <w:tcBorders>
              <w:bottom w:val="single" w:sz="8" w:color="CCCCFF"/>
            </w:tcBorders>
            <w:shd w:val="clear" w:color="auto" w:fill="CCCCFF"/>
          </w:tcPr>
          <w:p>
            <w:pPr>
              <w:spacing w:after="0"/>
              <w:rPr>
                <w:sz w:val="18"/>
                <w:szCs w:val="18"/>
                <w:color w:val="auto"/>
              </w:rPr>
            </w:pPr>
          </w:p>
        </w:tc>
        <w:tc>
          <w:tcPr>
            <w:tcW w:w="160" w:type="dxa"/>
            <w:vAlign w:val="bottom"/>
            <w:tcBorders>
              <w:bottom w:val="single" w:sz="8" w:color="CCCCFF"/>
            </w:tcBorders>
            <w:shd w:val="clear" w:color="auto" w:fill="CCCCFF"/>
          </w:tcPr>
          <w:p>
            <w:pPr>
              <w:spacing w:after="0"/>
              <w:rPr>
                <w:sz w:val="18"/>
                <w:szCs w:val="18"/>
                <w:color w:val="auto"/>
              </w:rPr>
            </w:pPr>
          </w:p>
        </w:tc>
        <w:tc>
          <w:tcPr>
            <w:tcW w:w="980" w:type="dxa"/>
            <w:vAlign w:val="bottom"/>
            <w:tcBorders>
              <w:bottom w:val="single" w:sz="8" w:color="CCCCFF"/>
            </w:tcBorders>
            <w:shd w:val="clear" w:color="auto" w:fill="CCCCFF"/>
          </w:tcPr>
          <w:p>
            <w:pPr>
              <w:spacing w:after="0"/>
              <w:rPr>
                <w:sz w:val="18"/>
                <w:szCs w:val="18"/>
                <w:color w:val="auto"/>
              </w:rPr>
            </w:pPr>
          </w:p>
        </w:tc>
        <w:tc>
          <w:tcPr>
            <w:tcW w:w="580" w:type="dxa"/>
            <w:vAlign w:val="bottom"/>
            <w:tcBorders>
              <w:bottom w:val="single" w:sz="8" w:color="CCCCFF"/>
            </w:tcBorders>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2640" w:type="dxa"/>
            <w:vAlign w:val="bottom"/>
            <w:tcBorders>
              <w:bottom w:val="single" w:sz="8" w:color="CCCCFF"/>
            </w:tcBorders>
            <w:gridSpan w:val="11"/>
            <w:shd w:val="clear" w:color="auto" w:fill="CCCCFF"/>
          </w:tcPr>
          <w:p>
            <w:pPr>
              <w:spacing w:after="0"/>
              <w:rPr>
                <w:sz w:val="18"/>
                <w:szCs w:val="18"/>
                <w:color w:val="auto"/>
              </w:rPr>
            </w:pPr>
          </w:p>
        </w:tc>
        <w:tc>
          <w:tcPr>
            <w:tcW w:w="820" w:type="dxa"/>
            <w:vAlign w:val="bottom"/>
            <w:tcBorders>
              <w:bottom w:val="single" w:sz="8" w:color="0000FF"/>
            </w:tcBorders>
            <w:gridSpan w:val="7"/>
            <w:shd w:val="clear" w:color="auto" w:fill="CCCCFF"/>
          </w:tcPr>
          <w:p>
            <w:pPr>
              <w:spacing w:after="0" w:line="209" w:lineRule="exact"/>
              <w:rPr>
                <w:sz w:val="20"/>
                <w:szCs w:val="20"/>
                <w:color w:val="auto"/>
              </w:rPr>
            </w:pPr>
            <w:r>
              <w:rPr>
                <w:rFonts w:ascii="Times New Roman" w:cs="Times New Roman" w:eastAsia="Times New Roman" w:hAnsi="Times New Roman"/>
                <w:sz w:val="22"/>
                <w:szCs w:val="22"/>
                <w:u w:val="single" w:color="auto"/>
                <w:color w:val="0000FF"/>
                <w:w w:val="80"/>
              </w:rPr>
              <w:t>$</w:t>
            </w:r>
            <w:r>
              <w:rPr>
                <w:rFonts w:ascii="Times New Roman" w:cs="Times New Roman" w:eastAsia="Times New Roman" w:hAnsi="Times New Roman"/>
                <w:sz w:val="22"/>
                <w:szCs w:val="22"/>
                <w:color w:val="0000FF"/>
                <w:w w:val="80"/>
              </w:rPr>
              <w:t>5,358,080</w:t>
            </w:r>
          </w:p>
        </w:tc>
        <w:tc>
          <w:tcPr>
            <w:tcW w:w="160" w:type="dxa"/>
            <w:vAlign w:val="bottom"/>
            <w:tcBorders>
              <w:bottom w:val="single" w:sz="8" w:color="0000FF"/>
            </w:tcBorders>
            <w:shd w:val="clear" w:color="auto" w:fill="CCCCFF"/>
          </w:tcPr>
          <w:p>
            <w:pPr>
              <w:spacing w:after="0"/>
              <w:rPr>
                <w:sz w:val="18"/>
                <w:szCs w:val="18"/>
                <w:color w:val="auto"/>
              </w:rPr>
            </w:pPr>
          </w:p>
        </w:tc>
        <w:tc>
          <w:tcPr>
            <w:tcW w:w="160" w:type="dxa"/>
            <w:vAlign w:val="bottom"/>
            <w:tcBorders>
              <w:bottom w:val="single" w:sz="8" w:color="CCCCFF"/>
            </w:tcBorders>
            <w:shd w:val="clear" w:color="auto" w:fill="CCCCFF"/>
          </w:tcPr>
          <w:p>
            <w:pPr>
              <w:spacing w:after="0"/>
              <w:rPr>
                <w:sz w:val="18"/>
                <w:szCs w:val="18"/>
                <w:color w:val="auto"/>
              </w:rPr>
            </w:pPr>
          </w:p>
        </w:tc>
        <w:tc>
          <w:tcPr>
            <w:tcW w:w="260" w:type="dxa"/>
            <w:vAlign w:val="bottom"/>
            <w:tcBorders>
              <w:bottom w:val="single" w:sz="8" w:color="CCCCFF"/>
            </w:tcBorders>
            <w:shd w:val="clear" w:color="auto" w:fill="CCCCFF"/>
          </w:tcPr>
          <w:p>
            <w:pPr>
              <w:spacing w:after="0"/>
              <w:rPr>
                <w:sz w:val="18"/>
                <w:szCs w:val="18"/>
                <w:color w:val="auto"/>
              </w:rPr>
            </w:pPr>
          </w:p>
        </w:tc>
        <w:tc>
          <w:tcPr>
            <w:tcW w:w="320" w:type="dxa"/>
            <w:vAlign w:val="bottom"/>
            <w:tcBorders>
              <w:bottom w:val="single" w:sz="8" w:color="CCCCFF"/>
            </w:tcBorders>
            <w:shd w:val="clear" w:color="auto" w:fill="CCCCFF"/>
          </w:tcPr>
          <w:p>
            <w:pPr>
              <w:spacing w:after="0"/>
              <w:rPr>
                <w:sz w:val="18"/>
                <w:szCs w:val="18"/>
                <w:color w:val="auto"/>
              </w:rPr>
            </w:pPr>
          </w:p>
        </w:tc>
        <w:tc>
          <w:tcPr>
            <w:tcW w:w="940" w:type="dxa"/>
            <w:vAlign w:val="bottom"/>
            <w:tcBorders>
              <w:bottom w:val="single" w:sz="8" w:color="CCCCFF"/>
            </w:tcBorders>
            <w:shd w:val="clear" w:color="auto" w:fill="CCCCFF"/>
          </w:tcPr>
          <w:p>
            <w:pPr>
              <w:spacing w:after="0"/>
              <w:rPr>
                <w:sz w:val="18"/>
                <w:szCs w:val="18"/>
                <w:color w:val="auto"/>
              </w:rPr>
            </w:pPr>
          </w:p>
        </w:tc>
        <w:tc>
          <w:tcPr>
            <w:tcW w:w="40" w:type="dxa"/>
            <w:vAlign w:val="bottom"/>
            <w:tcBorders>
              <w:bottom w:val="single" w:sz="8" w:color="CCCCFF"/>
            </w:tcBorders>
            <w:shd w:val="clear" w:color="auto" w:fill="CCCCFF"/>
          </w:tcPr>
          <w:p>
            <w:pPr>
              <w:spacing w:after="0"/>
              <w:rPr>
                <w:sz w:val="18"/>
                <w:szCs w:val="18"/>
                <w:color w:val="auto"/>
              </w:rPr>
            </w:pPr>
          </w:p>
        </w:tc>
        <w:tc>
          <w:tcPr>
            <w:tcW w:w="920" w:type="dxa"/>
            <w:vAlign w:val="bottom"/>
            <w:tcBorders>
              <w:bottom w:val="single" w:sz="8" w:color="CCCCFF"/>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1920" w:type="dxa"/>
            <w:vAlign w:val="bottom"/>
            <w:gridSpan w:val="16"/>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March 31, 2026</w:t>
            </w:r>
          </w:p>
        </w:tc>
        <w:tc>
          <w:tcPr>
            <w:tcW w:w="280" w:type="dxa"/>
            <w:vAlign w:val="bottom"/>
            <w:shd w:val="clear" w:color="auto" w:fill="CCCCFF"/>
          </w:tcPr>
          <w:p>
            <w:pPr>
              <w:spacing w:after="0"/>
              <w:rPr>
                <w:sz w:val="21"/>
                <w:szCs w:val="21"/>
                <w:color w:val="auto"/>
              </w:rPr>
            </w:pPr>
          </w:p>
        </w:tc>
        <w:tc>
          <w:tcPr>
            <w:tcW w:w="280" w:type="dxa"/>
            <w:vAlign w:val="bottom"/>
            <w:shd w:val="clear" w:color="auto" w:fill="CCCCFF"/>
          </w:tcPr>
          <w:p>
            <w:pPr>
              <w:spacing w:after="0"/>
              <w:rPr>
                <w:sz w:val="21"/>
                <w:szCs w:val="21"/>
                <w:color w:val="auto"/>
              </w:rPr>
            </w:pPr>
          </w:p>
        </w:tc>
        <w:tc>
          <w:tcPr>
            <w:tcW w:w="420" w:type="dxa"/>
            <w:vAlign w:val="bottom"/>
            <w:shd w:val="clear" w:color="auto" w:fill="CCCCFF"/>
          </w:tcPr>
          <w:p>
            <w:pPr>
              <w:spacing w:after="0"/>
              <w:rPr>
                <w:sz w:val="21"/>
                <w:szCs w:val="21"/>
                <w:color w:val="auto"/>
              </w:rPr>
            </w:pPr>
          </w:p>
        </w:tc>
        <w:tc>
          <w:tcPr>
            <w:tcW w:w="160" w:type="dxa"/>
            <w:vAlign w:val="bottom"/>
            <w:shd w:val="clear" w:color="auto" w:fill="CCCCFF"/>
          </w:tcPr>
          <w:p>
            <w:pPr>
              <w:spacing w:after="0"/>
              <w:rPr>
                <w:sz w:val="21"/>
                <w:szCs w:val="21"/>
                <w:color w:val="auto"/>
              </w:rPr>
            </w:pPr>
          </w:p>
        </w:tc>
        <w:tc>
          <w:tcPr>
            <w:tcW w:w="980" w:type="dxa"/>
            <w:vAlign w:val="bottom"/>
            <w:shd w:val="clear" w:color="auto" w:fill="CCCCFF"/>
          </w:tcPr>
          <w:p>
            <w:pPr>
              <w:spacing w:after="0"/>
              <w:rPr>
                <w:sz w:val="21"/>
                <w:szCs w:val="21"/>
                <w:color w:val="auto"/>
              </w:rPr>
            </w:pPr>
          </w:p>
        </w:tc>
        <w:tc>
          <w:tcPr>
            <w:tcW w:w="580" w:type="dxa"/>
            <w:vAlign w:val="bottom"/>
            <w:shd w:val="clear" w:color="auto" w:fill="CCCCFF"/>
          </w:tcPr>
          <w:p>
            <w:pPr>
              <w:spacing w:after="0"/>
              <w:rPr>
                <w:sz w:val="21"/>
                <w:szCs w:val="21"/>
                <w:color w:val="auto"/>
              </w:rPr>
            </w:pPr>
          </w:p>
        </w:tc>
        <w:tc>
          <w:tcPr>
            <w:tcW w:w="280" w:type="dxa"/>
            <w:vAlign w:val="bottom"/>
            <w:shd w:val="clear" w:color="auto" w:fill="CCCCFF"/>
          </w:tcPr>
          <w:p>
            <w:pPr>
              <w:spacing w:after="0"/>
              <w:rPr>
                <w:sz w:val="21"/>
                <w:szCs w:val="21"/>
                <w:color w:val="auto"/>
              </w:rPr>
            </w:pPr>
          </w:p>
        </w:tc>
        <w:tc>
          <w:tcPr>
            <w:tcW w:w="3780" w:type="dxa"/>
            <w:vAlign w:val="bottom"/>
            <w:gridSpan w:val="20"/>
            <w:shd w:val="clear" w:color="auto" w:fill="CCCCFF"/>
          </w:tcPr>
          <w:p>
            <w:pPr>
              <w:ind w:left="2640"/>
              <w:spacing w:after="0" w:line="250"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5,358,080</w:t>
            </w:r>
          </w:p>
        </w:tc>
        <w:tc>
          <w:tcPr>
            <w:tcW w:w="260" w:type="dxa"/>
            <w:vAlign w:val="bottom"/>
            <w:shd w:val="clear" w:color="auto" w:fill="CCCCFF"/>
          </w:tcPr>
          <w:p>
            <w:pPr>
              <w:spacing w:after="0"/>
              <w:rPr>
                <w:sz w:val="21"/>
                <w:szCs w:val="21"/>
                <w:color w:val="auto"/>
              </w:rPr>
            </w:pPr>
          </w:p>
        </w:tc>
        <w:tc>
          <w:tcPr>
            <w:tcW w:w="320" w:type="dxa"/>
            <w:vAlign w:val="bottom"/>
            <w:shd w:val="clear" w:color="auto" w:fill="CCCCFF"/>
          </w:tcPr>
          <w:p>
            <w:pPr>
              <w:spacing w:after="0"/>
              <w:rPr>
                <w:sz w:val="21"/>
                <w:szCs w:val="21"/>
                <w:color w:val="auto"/>
              </w:rPr>
            </w:pPr>
          </w:p>
        </w:tc>
        <w:tc>
          <w:tcPr>
            <w:tcW w:w="940" w:type="dxa"/>
            <w:vAlign w:val="bottom"/>
            <w:shd w:val="clear" w:color="auto" w:fill="CCCCFF"/>
          </w:tcPr>
          <w:p>
            <w:pPr>
              <w:spacing w:after="0"/>
              <w:rPr>
                <w:sz w:val="21"/>
                <w:szCs w:val="21"/>
                <w:color w:val="auto"/>
              </w:rPr>
            </w:pPr>
          </w:p>
        </w:tc>
        <w:tc>
          <w:tcPr>
            <w:tcW w:w="40" w:type="dxa"/>
            <w:vAlign w:val="bottom"/>
            <w:shd w:val="clear" w:color="auto" w:fill="CCCCFF"/>
          </w:tcPr>
          <w:p>
            <w:pPr>
              <w:spacing w:after="0"/>
              <w:rPr>
                <w:sz w:val="21"/>
                <w:szCs w:val="21"/>
                <w:color w:val="auto"/>
              </w:rPr>
            </w:pPr>
          </w:p>
        </w:tc>
        <w:tc>
          <w:tcPr>
            <w:tcW w:w="92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0000FF"/>
              <w:right w:val="single" w:sz="8" w:color="CCCCFF"/>
            </w:tcBorders>
            <w:shd w:val="clear" w:color="auto" w:fill="CCCCFF"/>
          </w:tcPr>
          <w:p>
            <w:pPr>
              <w:spacing w:after="0"/>
              <w:rPr>
                <w:sz w:val="2"/>
                <w:szCs w:val="2"/>
                <w:color w:val="auto"/>
              </w:rPr>
            </w:pPr>
          </w:p>
        </w:tc>
        <w:tc>
          <w:tcPr>
            <w:tcW w:w="30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1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0000FF"/>
            </w:tcBorders>
            <w:shd w:val="clear" w:color="auto" w:fill="CCCCFF"/>
          </w:tcPr>
          <w:p>
            <w:pPr>
              <w:spacing w:after="0"/>
              <w:rPr>
                <w:sz w:val="2"/>
                <w:szCs w:val="2"/>
                <w:color w:val="auto"/>
              </w:rPr>
            </w:pPr>
          </w:p>
        </w:tc>
        <w:tc>
          <w:tcPr>
            <w:tcW w:w="2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0000FF"/>
              <w:left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CCCC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9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00" w:type="dxa"/>
            <w:vAlign w:val="bottom"/>
            <w:tcBorders>
              <w:top w:val="single" w:sz="8" w:color="CCCCFF"/>
            </w:tcBorders>
            <w:shd w:val="clear" w:color="auto" w:fill="CCCCFF"/>
          </w:tcPr>
          <w:p>
            <w:pPr>
              <w:spacing w:after="0"/>
              <w:rPr>
                <w:sz w:val="2"/>
                <w:szCs w:val="2"/>
                <w:color w:val="auto"/>
              </w:rPr>
            </w:pPr>
          </w:p>
        </w:tc>
        <w:tc>
          <w:tcPr>
            <w:tcW w:w="22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CCCCFF"/>
            </w:tcBorders>
            <w:shd w:val="clear" w:color="auto" w:fill="CCCCFF"/>
          </w:tcPr>
          <w:p>
            <w:pPr>
              <w:spacing w:after="0"/>
              <w:rPr>
                <w:sz w:val="2"/>
                <w:szCs w:val="2"/>
                <w:color w:val="auto"/>
              </w:rPr>
            </w:pPr>
          </w:p>
        </w:tc>
        <w:tc>
          <w:tcPr>
            <w:tcW w:w="3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0" w:type="dxa"/>
            <w:vAlign w:val="bottom"/>
            <w:tcBorders>
              <w:top w:val="single" w:sz="8" w:color="CCCCFF"/>
            </w:tcBorders>
            <w:shd w:val="clear" w:color="auto" w:fill="CCCCFF"/>
          </w:tcPr>
          <w:p>
            <w:pPr>
              <w:spacing w:after="0"/>
              <w:rPr>
                <w:sz w:val="2"/>
                <w:szCs w:val="2"/>
                <w:color w:val="auto"/>
              </w:rPr>
            </w:pPr>
          </w:p>
        </w:tc>
        <w:tc>
          <w:tcPr>
            <w:tcW w:w="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0000FF"/>
              <w:right w:val="single" w:sz="8" w:color="CCCC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12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60" w:type="dxa"/>
            <w:vAlign w:val="bottom"/>
            <w:tcBorders>
              <w:top w:val="single" w:sz="8" w:color="0000FF"/>
            </w:tcBorders>
            <w:shd w:val="clear" w:color="auto" w:fill="CCCCFF"/>
          </w:tcPr>
          <w:p>
            <w:pPr>
              <w:spacing w:after="0"/>
              <w:rPr>
                <w:sz w:val="2"/>
                <w:szCs w:val="2"/>
                <w:color w:val="auto"/>
              </w:rPr>
            </w:pPr>
          </w:p>
        </w:tc>
        <w:tc>
          <w:tcPr>
            <w:tcW w:w="14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9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920" w:type="dxa"/>
            <w:vAlign w:val="bottom"/>
            <w:tcBorders>
              <w:top w:val="single" w:sz="8" w:color="CCCCFF"/>
            </w:tcBorders>
            <w:shd w:val="clear" w:color="auto" w:fill="CCC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June 30,</w:t>
            </w:r>
          </w:p>
        </w:tc>
        <w:tc>
          <w:tcPr>
            <w:tcW w:w="500" w:type="dxa"/>
            <w:vAlign w:val="bottom"/>
            <w:gridSpan w:val="7"/>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5"/>
              </w:rPr>
              <w:t>2024</w:t>
            </w:r>
          </w:p>
        </w:tc>
        <w:tc>
          <w:tcPr>
            <w:tcW w:w="3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0000FF"/>
                <w:w w:val="81"/>
              </w:rPr>
              <w:t>2026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$8,125,000</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10"/>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5"/>
              </w:rPr>
              <w:t>8,125,000</w:t>
            </w:r>
          </w:p>
        </w:tc>
        <w:tc>
          <w:tcPr>
            <w:tcW w:w="1180" w:type="dxa"/>
            <w:vAlign w:val="bottom"/>
            <w:gridSpan w:val="7"/>
          </w:tcPr>
          <w:p>
            <w:pPr>
              <w:jc w:val="right"/>
              <w:ind w:right="320"/>
              <w:spacing w:after="0" w:line="243" w:lineRule="exact"/>
              <w:rPr>
                <w:sz w:val="20"/>
                <w:szCs w:val="20"/>
                <w:color w:val="auto"/>
              </w:rPr>
            </w:pPr>
            <w:r>
              <w:rPr>
                <w:rFonts w:ascii="Times New Roman" w:cs="Times New Roman" w:eastAsia="Times New Roman" w:hAnsi="Times New Roman"/>
                <w:sz w:val="22"/>
                <w:szCs w:val="22"/>
                <w:color w:val="0000FF"/>
                <w:w w:val="95"/>
              </w:rPr>
              <w:t>5,358,080</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 w:type="dxa"/>
            <w:vAlign w:val="bottom"/>
          </w:tcPr>
          <w:p>
            <w:pPr>
              <w:spacing w:after="0"/>
              <w:rPr>
                <w:sz w:val="24"/>
                <w:szCs w:val="24"/>
                <w:color w:val="auto"/>
              </w:rPr>
            </w:pPr>
          </w:p>
        </w:tc>
        <w:tc>
          <w:tcPr>
            <w:tcW w:w="1920" w:type="dxa"/>
            <w:vAlign w:val="bottom"/>
            <w:gridSpan w:val="16"/>
            <w:vMerge w:val="restart"/>
          </w:tcPr>
          <w:p>
            <w:pPr>
              <w:spacing w:after="0"/>
              <w:rPr>
                <w:sz w:val="20"/>
                <w:szCs w:val="20"/>
                <w:color w:val="auto"/>
              </w:rPr>
            </w:pPr>
            <w:r>
              <w:rPr>
                <w:rFonts w:ascii="Times New Roman" w:cs="Times New Roman" w:eastAsia="Times New Roman" w:hAnsi="Times New Roman"/>
                <w:sz w:val="22"/>
                <w:szCs w:val="22"/>
                <w:color w:val="auto"/>
              </w:rPr>
              <w:t>Sept. 30, 2026</w:t>
            </w:r>
          </w:p>
        </w:tc>
        <w:tc>
          <w:tcPr>
            <w:tcW w:w="9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20"/>
            <w:vMerge w:val="restart"/>
          </w:tcPr>
          <w:p>
            <w:pPr>
              <w:ind w:left="264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5,358,080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1920" w:type="dxa"/>
            <w:vAlign w:val="bottom"/>
            <w:gridSpan w:val="16"/>
            <w:vMerge w:val="continu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20"/>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FF0000"/>
                <w:strike w:val="1"/>
                <w:w w:val="97"/>
              </w:rPr>
              <w:t>Sept</w:t>
            </w:r>
          </w:p>
        </w:tc>
        <w:tc>
          <w:tcPr>
            <w:tcW w:w="42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0000FF"/>
                <w:w w:val="97"/>
              </w:rPr>
              <w:t>Dec</w:t>
            </w:r>
            <w:r>
              <w:rPr>
                <w:rFonts w:ascii="Times New Roman" w:cs="Times New Roman" w:eastAsia="Times New Roman" w:hAnsi="Times New Roman"/>
                <w:sz w:val="22"/>
                <w:szCs w:val="22"/>
                <w:color w:val="000000"/>
                <w:w w:val="97"/>
              </w:rPr>
              <w:t>.</w:t>
            </w:r>
          </w:p>
        </w:tc>
        <w:tc>
          <w:tcPr>
            <w:tcW w:w="2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FF0000"/>
                <w:strike w:val="1"/>
                <w:w w:val="90"/>
              </w:rPr>
              <w:t>30</w:t>
            </w:r>
          </w:p>
        </w:tc>
        <w:tc>
          <w:tcPr>
            <w:tcW w:w="440" w:type="dxa"/>
            <w:vAlign w:val="bottom"/>
            <w:gridSpan w:val="3"/>
          </w:tcPr>
          <w:p>
            <w:pPr>
              <w:jc w:val="right"/>
              <w:ind w:right="72"/>
              <w:spacing w:after="0" w:line="243" w:lineRule="exact"/>
              <w:rPr>
                <w:sz w:val="20"/>
                <w:szCs w:val="20"/>
                <w:color w:val="auto"/>
              </w:rPr>
            </w:pPr>
            <w:r>
              <w:rPr>
                <w:rFonts w:ascii="Times New Roman" w:cs="Times New Roman" w:eastAsia="Times New Roman" w:hAnsi="Times New Roman"/>
                <w:sz w:val="22"/>
                <w:szCs w:val="22"/>
                <w:color w:val="0000FF"/>
                <w:w w:val="87"/>
              </w:rPr>
              <w:t>31</w:t>
            </w:r>
            <w:r>
              <w:rPr>
                <w:rFonts w:ascii="Times New Roman" w:cs="Times New Roman" w:eastAsia="Times New Roman" w:hAnsi="Times New Roman"/>
                <w:sz w:val="22"/>
                <w:szCs w:val="22"/>
                <w:color w:val="000000"/>
                <w:w w:val="87"/>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3"/>
            <w:shd w:val="clear" w:color="auto" w:fill="FECAF4"/>
          </w:tcPr>
          <w:p>
            <w:pPr>
              <w:spacing w:after="0"/>
              <w:rPr>
                <w:sz w:val="21"/>
                <w:szCs w:val="21"/>
                <w:color w:val="auto"/>
              </w:rPr>
            </w:pPr>
          </w:p>
        </w:tc>
        <w:tc>
          <w:tcPr>
            <w:tcW w:w="980" w:type="dxa"/>
            <w:vAlign w:val="bottom"/>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shd w:val="clear" w:color="auto" w:fill="FECAF4"/>
          </w:tcPr>
          <w:p>
            <w:pPr>
              <w:spacing w:after="0"/>
              <w:rPr>
                <w:sz w:val="21"/>
                <w:szCs w:val="21"/>
                <w:color w:val="auto"/>
              </w:rPr>
            </w:pPr>
          </w:p>
        </w:tc>
        <w:tc>
          <w:tcPr>
            <w:tcW w:w="280" w:type="dxa"/>
            <w:vAlign w:val="bottom"/>
            <w:shd w:val="clear" w:color="auto" w:fill="FECAF4"/>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5"/>
          </w:tcPr>
          <w:p>
            <w:pPr>
              <w:jc w:val="center"/>
              <w:ind w:left="112"/>
              <w:spacing w:after="0" w:line="243" w:lineRule="exact"/>
              <w:rPr>
                <w:sz w:val="20"/>
                <w:szCs w:val="20"/>
                <w:color w:val="auto"/>
              </w:rPr>
            </w:pPr>
            <w:r>
              <w:rPr>
                <w:rFonts w:ascii="Times New Roman" w:cs="Times New Roman" w:eastAsia="Times New Roman" w:hAnsi="Times New Roman"/>
                <w:sz w:val="22"/>
                <w:szCs w:val="22"/>
                <w:color w:val="FF0000"/>
                <w:strike w:val="1"/>
                <w:w w:val="97"/>
              </w:rPr>
              <w:t>Dec. 31, 2026</w:t>
            </w:r>
          </w:p>
        </w:tc>
        <w:tc>
          <w:tcPr>
            <w:tcW w:w="98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u w:val="single" w:color="auto"/>
                <w:color w:val="0000FF"/>
                <w:w w:val="94"/>
              </w:rPr>
              <w:t>$</w:t>
            </w:r>
            <w:r>
              <w:rPr>
                <w:rFonts w:ascii="Times New Roman" w:cs="Times New Roman" w:eastAsia="Times New Roman" w:hAnsi="Times New Roman"/>
                <w:sz w:val="22"/>
                <w:szCs w:val="22"/>
                <w:color w:val="0000FF"/>
                <w:w w:val="94"/>
              </w:rPr>
              <w:t>5,358,080</w:t>
            </w:r>
          </w:p>
        </w:tc>
        <w:tc>
          <w:tcPr>
            <w:tcW w:w="8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shd w:val="clear" w:color="auto" w:fill="FECAF4"/>
          </w:tcPr>
          <w:p>
            <w:pPr>
              <w:spacing w:after="0"/>
              <w:rPr>
                <w:sz w:val="21"/>
                <w:szCs w:val="21"/>
                <w:color w:val="auto"/>
              </w:rPr>
            </w:pPr>
          </w:p>
        </w:tc>
        <w:tc>
          <w:tcPr>
            <w:tcW w:w="980" w:type="dxa"/>
            <w:vAlign w:val="bottom"/>
            <w:gridSpan w:val="2"/>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6"/>
              </w:rPr>
              <w:t>$8,125,000</w:t>
            </w:r>
          </w:p>
        </w:tc>
        <w:tc>
          <w:tcPr>
            <w:tcW w:w="920" w:type="dxa"/>
            <w:vAlign w:val="bottom"/>
            <w:shd w:val="clear" w:color="auto" w:fill="FECA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42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980" w:type="dxa"/>
            <w:vAlign w:val="bottom"/>
            <w:shd w:val="clear" w:color="auto" w:fill="FECAF4"/>
          </w:tcPr>
          <w:p>
            <w:pPr>
              <w:spacing w:after="0" w:line="20" w:lineRule="exact"/>
              <w:rPr>
                <w:sz w:val="1"/>
                <w:szCs w:val="1"/>
                <w:color w:val="auto"/>
              </w:rPr>
            </w:pPr>
          </w:p>
        </w:tc>
        <w:tc>
          <w:tcPr>
            <w:tcW w:w="580" w:type="dxa"/>
            <w:vAlign w:val="bottom"/>
            <w:shd w:val="clear" w:color="auto" w:fill="FECAF4"/>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260" w:type="dxa"/>
            <w:vAlign w:val="bottom"/>
            <w:shd w:val="clear" w:color="auto" w:fill="FECAF4"/>
          </w:tcPr>
          <w:p>
            <w:pPr>
              <w:spacing w:after="0" w:line="20" w:lineRule="exact"/>
              <w:rPr>
                <w:sz w:val="1"/>
                <w:szCs w:val="1"/>
                <w:color w:val="auto"/>
              </w:rPr>
            </w:pPr>
          </w:p>
        </w:tc>
        <w:tc>
          <w:tcPr>
            <w:tcW w:w="320" w:type="dxa"/>
            <w:vAlign w:val="bottom"/>
            <w:shd w:val="clear" w:color="auto" w:fill="FECAF4"/>
          </w:tcPr>
          <w:p>
            <w:pPr>
              <w:spacing w:after="0" w:line="20" w:lineRule="exact"/>
              <w:rPr>
                <w:sz w:val="1"/>
                <w:szCs w:val="1"/>
                <w:color w:val="auto"/>
              </w:rPr>
            </w:pPr>
          </w:p>
        </w:tc>
        <w:tc>
          <w:tcPr>
            <w:tcW w:w="940" w:type="dxa"/>
            <w:vAlign w:val="bottom"/>
            <w:shd w:val="clear" w:color="auto" w:fill="FECAF4"/>
          </w:tcPr>
          <w:p>
            <w:pPr>
              <w:spacing w:after="0" w:line="20" w:lineRule="exact"/>
              <w:rPr>
                <w:sz w:val="1"/>
                <w:szCs w:val="1"/>
                <w:color w:val="auto"/>
              </w:rPr>
            </w:pPr>
          </w:p>
        </w:tc>
        <w:tc>
          <w:tcPr>
            <w:tcW w:w="40" w:type="dxa"/>
            <w:vAlign w:val="bottom"/>
            <w:shd w:val="clear" w:color="auto" w:fill="FECAF4"/>
          </w:tcPr>
          <w:p>
            <w:pPr>
              <w:spacing w:after="0" w:line="20" w:lineRule="exact"/>
              <w:rPr>
                <w:sz w:val="1"/>
                <w:szCs w:val="1"/>
                <w:color w:val="auto"/>
              </w:rPr>
            </w:pPr>
          </w:p>
        </w:tc>
        <w:tc>
          <w:tcPr>
            <w:tcW w:w="920" w:type="dxa"/>
            <w:vAlign w:val="bottom"/>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4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86"/>
              </w:rPr>
              <w:t>2024</w:t>
            </w:r>
          </w:p>
        </w:tc>
        <w:tc>
          <w:tcPr>
            <w:tcW w:w="4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5"/>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FECAF4"/>
            </w:tcBorders>
            <w:shd w:val="clear" w:color="auto" w:fill="FECAF4"/>
          </w:tcPr>
          <w:p>
            <w:pPr>
              <w:spacing w:after="0"/>
              <w:rPr>
                <w:sz w:val="20"/>
                <w:szCs w:val="20"/>
                <w:color w:val="auto"/>
              </w:rPr>
            </w:pPr>
          </w:p>
        </w:tc>
        <w:tc>
          <w:tcPr>
            <w:tcW w:w="420" w:type="dxa"/>
            <w:vAlign w:val="bottom"/>
            <w:tcBorders>
              <w:bottom w:val="single" w:sz="8" w:color="FECAF4"/>
            </w:tcBorders>
            <w:shd w:val="clear" w:color="auto" w:fill="FECAF4"/>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980" w:type="dxa"/>
            <w:vAlign w:val="bottom"/>
            <w:tcBorders>
              <w:bottom w:val="single" w:sz="8" w:color="FECAF4"/>
            </w:tcBorders>
            <w:vMerge w:val="restart"/>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tcBorders>
              <w:bottom w:val="single" w:sz="8" w:color="FECAF4"/>
            </w:tcBorders>
            <w:shd w:val="clear" w:color="auto" w:fill="FECAF4"/>
          </w:tcPr>
          <w:p>
            <w:pPr>
              <w:spacing w:after="0"/>
              <w:rPr>
                <w:sz w:val="20"/>
                <w:szCs w:val="20"/>
                <w:color w:val="auto"/>
              </w:rPr>
            </w:pPr>
          </w:p>
        </w:tc>
        <w:tc>
          <w:tcPr>
            <w:tcW w:w="280" w:type="dxa"/>
            <w:vAlign w:val="bottom"/>
            <w:tcBorders>
              <w:bottom w:val="single" w:sz="8" w:color="FECAF4"/>
            </w:tcBorders>
            <w:shd w:val="clear" w:color="auto" w:fill="FECAF4"/>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260" w:type="dxa"/>
            <w:vAlign w:val="bottom"/>
            <w:tcBorders>
              <w:bottom w:val="single" w:sz="8" w:color="FECAF4"/>
            </w:tcBorders>
            <w:shd w:val="clear" w:color="auto" w:fill="FECAF4"/>
          </w:tcPr>
          <w:p>
            <w:pPr>
              <w:spacing w:after="0"/>
              <w:rPr>
                <w:sz w:val="20"/>
                <w:szCs w:val="20"/>
                <w:color w:val="auto"/>
              </w:rPr>
            </w:pPr>
          </w:p>
        </w:tc>
        <w:tc>
          <w:tcPr>
            <w:tcW w:w="320" w:type="dxa"/>
            <w:vAlign w:val="bottom"/>
            <w:tcBorders>
              <w:bottom w:val="single" w:sz="8" w:color="FECAF4"/>
            </w:tcBorders>
            <w:shd w:val="clear" w:color="auto" w:fill="FECAF4"/>
          </w:tcPr>
          <w:p>
            <w:pPr>
              <w:spacing w:after="0"/>
              <w:rPr>
                <w:sz w:val="20"/>
                <w:szCs w:val="20"/>
                <w:color w:val="auto"/>
              </w:rPr>
            </w:pPr>
          </w:p>
        </w:tc>
        <w:tc>
          <w:tcPr>
            <w:tcW w:w="980" w:type="dxa"/>
            <w:vAlign w:val="bottom"/>
            <w:tcBorders>
              <w:bottom w:val="single" w:sz="8" w:color="FECAF4"/>
            </w:tcBorders>
            <w:gridSpan w:val="2"/>
            <w:vMerge w:val="restart"/>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6"/>
              </w:rPr>
              <w:t>$8,125,000</w:t>
            </w:r>
          </w:p>
        </w:tc>
        <w:tc>
          <w:tcPr>
            <w:tcW w:w="920" w:type="dxa"/>
            <w:vAlign w:val="bottom"/>
            <w:tcBorders>
              <w:bottom w:val="single" w:sz="8" w:color="FECAF4"/>
            </w:tcBorders>
            <w:shd w:val="clear" w:color="auto" w:fill="FECAF4"/>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2"/>
              </w:rPr>
              <w:t>Dec.</w:t>
            </w:r>
          </w:p>
        </w:tc>
        <w:tc>
          <w:tcPr>
            <w:tcW w:w="1500" w:type="dxa"/>
            <w:vAlign w:val="bottom"/>
            <w:gridSpan w:val="15"/>
          </w:tcPr>
          <w:p>
            <w:pPr>
              <w:spacing w:after="0"/>
              <w:rPr>
                <w:sz w:val="20"/>
                <w:szCs w:val="20"/>
                <w:color w:val="auto"/>
              </w:rPr>
            </w:pPr>
            <w:r>
              <w:rPr>
                <w:rFonts w:ascii="Times New Roman" w:cs="Times New Roman" w:eastAsia="Times New Roman" w:hAnsi="Times New Roman"/>
                <w:sz w:val="22"/>
                <w:szCs w:val="22"/>
                <w:color w:val="0000FF"/>
              </w:rPr>
              <w:t xml:space="preserve">March </w:t>
            </w:r>
            <w:r>
              <w:rPr>
                <w:rFonts w:ascii="Times New Roman" w:cs="Times New Roman" w:eastAsia="Times New Roman" w:hAnsi="Times New Roman"/>
                <w:sz w:val="22"/>
                <w:szCs w:val="22"/>
                <w:color w:val="000000"/>
              </w:rPr>
              <w:t>31,</w:t>
            </w:r>
          </w:p>
        </w:tc>
        <w:tc>
          <w:tcPr>
            <w:tcW w:w="280" w:type="dxa"/>
            <w:vAlign w:val="bottom"/>
          </w:tcPr>
          <w:p>
            <w:pPr>
              <w:spacing w:after="0"/>
              <w:rPr>
                <w:sz w:val="24"/>
                <w:szCs w:val="24"/>
                <w:color w:val="auto"/>
              </w:rPr>
            </w:pPr>
          </w:p>
        </w:tc>
        <w:tc>
          <w:tcPr>
            <w:tcW w:w="860" w:type="dxa"/>
            <w:vAlign w:val="bottom"/>
            <w:gridSpan w:val="3"/>
            <w:shd w:val="clear" w:color="auto" w:fill="FECAF4"/>
          </w:tcPr>
          <w:p>
            <w:pPr>
              <w:spacing w:after="0"/>
              <w:rPr>
                <w:sz w:val="24"/>
                <w:szCs w:val="24"/>
                <w:color w:val="auto"/>
              </w:rPr>
            </w:pPr>
          </w:p>
        </w:tc>
        <w:tc>
          <w:tcPr>
            <w:tcW w:w="980" w:type="dxa"/>
            <w:vAlign w:val="bottom"/>
            <w:vMerge w:val="continue"/>
            <w:shd w:val="clear" w:color="auto" w:fill="FECAF4"/>
          </w:tcPr>
          <w:p>
            <w:pPr>
              <w:spacing w:after="0"/>
              <w:rPr>
                <w:sz w:val="24"/>
                <w:szCs w:val="24"/>
                <w:color w:val="auto"/>
              </w:rPr>
            </w:pPr>
          </w:p>
        </w:tc>
        <w:tc>
          <w:tcPr>
            <w:tcW w:w="580" w:type="dxa"/>
            <w:vAlign w:val="bottom"/>
            <w:shd w:val="clear" w:color="auto" w:fill="FECAF4"/>
          </w:tcPr>
          <w:p>
            <w:pPr>
              <w:spacing w:after="0"/>
              <w:rPr>
                <w:sz w:val="24"/>
                <w:szCs w:val="24"/>
                <w:color w:val="auto"/>
              </w:rPr>
            </w:pPr>
          </w:p>
        </w:tc>
        <w:tc>
          <w:tcPr>
            <w:tcW w:w="280" w:type="dxa"/>
            <w:vAlign w:val="bottom"/>
            <w:shd w:val="clear" w:color="auto" w:fill="FECAF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6"/>
          </w:tcPr>
          <w:p>
            <w:pPr>
              <w:jc w:val="center"/>
              <w:ind w:left="32"/>
              <w:spacing w:after="0"/>
              <w:rPr>
                <w:sz w:val="20"/>
                <w:szCs w:val="20"/>
                <w:color w:val="auto"/>
              </w:rPr>
            </w:pPr>
            <w:r>
              <w:rPr>
                <w:rFonts w:ascii="Times New Roman" w:cs="Times New Roman" w:eastAsia="Times New Roman" w:hAnsi="Times New Roman"/>
                <w:sz w:val="22"/>
                <w:szCs w:val="22"/>
                <w:color w:val="FF0000"/>
                <w:strike w:val="1"/>
                <w:w w:val="97"/>
              </w:rPr>
              <w:t>March 31, 2027</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4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shd w:val="clear" w:color="auto" w:fill="FECAF4"/>
          </w:tcPr>
          <w:p>
            <w:pPr>
              <w:spacing w:after="0"/>
              <w:rPr>
                <w:sz w:val="24"/>
                <w:szCs w:val="24"/>
                <w:color w:val="auto"/>
              </w:rPr>
            </w:pPr>
          </w:p>
        </w:tc>
        <w:tc>
          <w:tcPr>
            <w:tcW w:w="980" w:type="dxa"/>
            <w:vAlign w:val="bottom"/>
            <w:gridSpan w:val="2"/>
            <w:vMerge w:val="continue"/>
            <w:shd w:val="clear" w:color="auto" w:fill="FECAF4"/>
          </w:tcPr>
          <w:p>
            <w:pPr>
              <w:spacing w:after="0"/>
              <w:rPr>
                <w:sz w:val="24"/>
                <w:szCs w:val="24"/>
                <w:color w:val="auto"/>
              </w:rPr>
            </w:pPr>
          </w:p>
        </w:tc>
        <w:tc>
          <w:tcPr>
            <w:tcW w:w="920" w:type="dxa"/>
            <w:vAlign w:val="bottom"/>
            <w:shd w:val="clear" w:color="auto" w:fill="FECAF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gridSpan w:val="2"/>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42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980" w:type="dxa"/>
            <w:vAlign w:val="bottom"/>
            <w:shd w:val="clear" w:color="auto" w:fill="FECAF4"/>
          </w:tcPr>
          <w:p>
            <w:pPr>
              <w:spacing w:after="0" w:line="20" w:lineRule="exact"/>
              <w:rPr>
                <w:sz w:val="1"/>
                <w:szCs w:val="1"/>
                <w:color w:val="auto"/>
              </w:rPr>
            </w:pPr>
          </w:p>
        </w:tc>
        <w:tc>
          <w:tcPr>
            <w:tcW w:w="580" w:type="dxa"/>
            <w:vAlign w:val="bottom"/>
            <w:shd w:val="clear" w:color="auto" w:fill="FECAF4"/>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260" w:type="dxa"/>
            <w:vAlign w:val="bottom"/>
            <w:shd w:val="clear" w:color="auto" w:fill="FECAF4"/>
          </w:tcPr>
          <w:p>
            <w:pPr>
              <w:spacing w:after="0" w:line="20" w:lineRule="exact"/>
              <w:rPr>
                <w:sz w:val="1"/>
                <w:szCs w:val="1"/>
                <w:color w:val="auto"/>
              </w:rPr>
            </w:pPr>
          </w:p>
        </w:tc>
        <w:tc>
          <w:tcPr>
            <w:tcW w:w="320" w:type="dxa"/>
            <w:vAlign w:val="bottom"/>
            <w:shd w:val="clear" w:color="auto" w:fill="FECAF4"/>
          </w:tcPr>
          <w:p>
            <w:pPr>
              <w:spacing w:after="0" w:line="20" w:lineRule="exact"/>
              <w:rPr>
                <w:sz w:val="1"/>
                <w:szCs w:val="1"/>
                <w:color w:val="auto"/>
              </w:rPr>
            </w:pPr>
          </w:p>
        </w:tc>
        <w:tc>
          <w:tcPr>
            <w:tcW w:w="940" w:type="dxa"/>
            <w:vAlign w:val="bottom"/>
            <w:shd w:val="clear" w:color="auto" w:fill="FECAF4"/>
          </w:tcPr>
          <w:p>
            <w:pPr>
              <w:spacing w:after="0" w:line="20" w:lineRule="exact"/>
              <w:rPr>
                <w:sz w:val="1"/>
                <w:szCs w:val="1"/>
                <w:color w:val="auto"/>
              </w:rPr>
            </w:pPr>
          </w:p>
        </w:tc>
        <w:tc>
          <w:tcPr>
            <w:tcW w:w="40" w:type="dxa"/>
            <w:vAlign w:val="bottom"/>
            <w:shd w:val="clear" w:color="auto" w:fill="FECAF4"/>
          </w:tcPr>
          <w:p>
            <w:pPr>
              <w:spacing w:after="0" w:line="20" w:lineRule="exact"/>
              <w:rPr>
                <w:sz w:val="1"/>
                <w:szCs w:val="1"/>
                <w:color w:val="auto"/>
              </w:rPr>
            </w:pPr>
          </w:p>
        </w:tc>
        <w:tc>
          <w:tcPr>
            <w:tcW w:w="920" w:type="dxa"/>
            <w:vAlign w:val="bottom"/>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4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86"/>
              </w:rPr>
              <w:t>2024</w:t>
            </w:r>
          </w:p>
        </w:tc>
        <w:tc>
          <w:tcPr>
            <w:tcW w:w="4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5"/>
              </w:rPr>
              <w:t>2027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FECAF4"/>
            </w:tcBorders>
            <w:shd w:val="clear" w:color="auto" w:fill="FECAF4"/>
          </w:tcPr>
          <w:p>
            <w:pPr>
              <w:spacing w:after="0"/>
              <w:rPr>
                <w:sz w:val="20"/>
                <w:szCs w:val="20"/>
                <w:color w:val="auto"/>
              </w:rPr>
            </w:pPr>
          </w:p>
        </w:tc>
        <w:tc>
          <w:tcPr>
            <w:tcW w:w="420" w:type="dxa"/>
            <w:vAlign w:val="bottom"/>
            <w:tcBorders>
              <w:bottom w:val="single" w:sz="8" w:color="FECAF4"/>
            </w:tcBorders>
            <w:shd w:val="clear" w:color="auto" w:fill="FECAF4"/>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980" w:type="dxa"/>
            <w:vAlign w:val="bottom"/>
            <w:tcBorders>
              <w:bottom w:val="single" w:sz="8" w:color="FECAF4"/>
            </w:tcBorders>
            <w:shd w:val="clear" w:color="auto" w:fill="FECAF4"/>
          </w:tcPr>
          <w:p>
            <w:pPr>
              <w:spacing w:after="0"/>
              <w:rPr>
                <w:sz w:val="20"/>
                <w:szCs w:val="20"/>
                <w:color w:val="auto"/>
              </w:rPr>
            </w:pPr>
          </w:p>
        </w:tc>
        <w:tc>
          <w:tcPr>
            <w:tcW w:w="580" w:type="dxa"/>
            <w:vAlign w:val="bottom"/>
            <w:tcBorders>
              <w:bottom w:val="single" w:sz="8" w:color="FECAF4"/>
            </w:tcBorders>
            <w:shd w:val="clear" w:color="auto" w:fill="FECAF4"/>
          </w:tcPr>
          <w:p>
            <w:pPr>
              <w:spacing w:after="0"/>
              <w:rPr>
                <w:sz w:val="20"/>
                <w:szCs w:val="20"/>
                <w:color w:val="auto"/>
              </w:rPr>
            </w:pPr>
          </w:p>
        </w:tc>
        <w:tc>
          <w:tcPr>
            <w:tcW w:w="280" w:type="dxa"/>
            <w:vAlign w:val="bottom"/>
            <w:tcBorders>
              <w:bottom w:val="single" w:sz="8" w:color="FECAF4"/>
            </w:tcBorders>
            <w:shd w:val="clear" w:color="auto" w:fill="FECAF4"/>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160" w:type="dxa"/>
            <w:vAlign w:val="bottom"/>
            <w:tcBorders>
              <w:bottom w:val="single" w:sz="8" w:color="FECAF4"/>
            </w:tcBorders>
            <w:shd w:val="clear" w:color="auto" w:fill="FECAF4"/>
          </w:tcPr>
          <w:p>
            <w:pPr>
              <w:spacing w:after="0"/>
              <w:rPr>
                <w:sz w:val="20"/>
                <w:szCs w:val="20"/>
                <w:color w:val="auto"/>
              </w:rPr>
            </w:pPr>
          </w:p>
        </w:tc>
        <w:tc>
          <w:tcPr>
            <w:tcW w:w="260" w:type="dxa"/>
            <w:vAlign w:val="bottom"/>
            <w:tcBorders>
              <w:bottom w:val="single" w:sz="8" w:color="FECAF4"/>
            </w:tcBorders>
            <w:shd w:val="clear" w:color="auto" w:fill="FECAF4"/>
          </w:tcPr>
          <w:p>
            <w:pPr>
              <w:spacing w:after="0"/>
              <w:rPr>
                <w:sz w:val="20"/>
                <w:szCs w:val="20"/>
                <w:color w:val="auto"/>
              </w:rPr>
            </w:pPr>
          </w:p>
        </w:tc>
        <w:tc>
          <w:tcPr>
            <w:tcW w:w="320" w:type="dxa"/>
            <w:vAlign w:val="bottom"/>
            <w:tcBorders>
              <w:bottom w:val="single" w:sz="8" w:color="FECAF4"/>
            </w:tcBorders>
            <w:shd w:val="clear" w:color="auto" w:fill="FECAF4"/>
          </w:tcPr>
          <w:p>
            <w:pPr>
              <w:spacing w:after="0"/>
              <w:rPr>
                <w:sz w:val="20"/>
                <w:szCs w:val="20"/>
                <w:color w:val="auto"/>
              </w:rPr>
            </w:pPr>
          </w:p>
        </w:tc>
        <w:tc>
          <w:tcPr>
            <w:tcW w:w="940" w:type="dxa"/>
            <w:vAlign w:val="bottom"/>
            <w:tcBorders>
              <w:bottom w:val="single" w:sz="8" w:color="FECAF4"/>
            </w:tcBorders>
            <w:shd w:val="clear" w:color="auto" w:fill="FECAF4"/>
          </w:tcPr>
          <w:p>
            <w:pPr>
              <w:spacing w:after="0"/>
              <w:rPr>
                <w:sz w:val="20"/>
                <w:szCs w:val="20"/>
                <w:color w:val="auto"/>
              </w:rPr>
            </w:pPr>
          </w:p>
        </w:tc>
        <w:tc>
          <w:tcPr>
            <w:tcW w:w="40" w:type="dxa"/>
            <w:vAlign w:val="bottom"/>
            <w:tcBorders>
              <w:bottom w:val="single" w:sz="8" w:color="FECAF4"/>
            </w:tcBorders>
            <w:shd w:val="clear" w:color="auto" w:fill="FECAF4"/>
          </w:tcPr>
          <w:p>
            <w:pPr>
              <w:spacing w:after="0"/>
              <w:rPr>
                <w:sz w:val="20"/>
                <w:szCs w:val="20"/>
                <w:color w:val="auto"/>
              </w:rPr>
            </w:pPr>
          </w:p>
        </w:tc>
        <w:tc>
          <w:tcPr>
            <w:tcW w:w="920" w:type="dxa"/>
            <w:vAlign w:val="bottom"/>
            <w:tcBorders>
              <w:bottom w:val="single" w:sz="8" w:color="FECAF4"/>
            </w:tcBorders>
            <w:shd w:val="clear" w:color="auto" w:fill="FECAF4"/>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22"/>
                <w:szCs w:val="22"/>
                <w:color w:val="FF0000"/>
                <w:strike w:val="1"/>
                <w:w w:val="94"/>
              </w:rPr>
              <w:t>March 31</w:t>
            </w:r>
          </w:p>
        </w:tc>
        <w:tc>
          <w:tcPr>
            <w:tcW w:w="1100" w:type="dxa"/>
            <w:vAlign w:val="bottom"/>
            <w:gridSpan w:val="11"/>
          </w:tcPr>
          <w:p>
            <w:pPr>
              <w:spacing w:after="0"/>
              <w:rPr>
                <w:sz w:val="20"/>
                <w:szCs w:val="20"/>
                <w:color w:val="auto"/>
              </w:rPr>
            </w:pPr>
            <w:r>
              <w:rPr>
                <w:rFonts w:ascii="Times New Roman" w:cs="Times New Roman" w:eastAsia="Times New Roman" w:hAnsi="Times New Roman"/>
                <w:sz w:val="22"/>
                <w:szCs w:val="22"/>
                <w:color w:val="0000FF"/>
              </w:rPr>
              <w:t>June 30</w:t>
            </w:r>
            <w:r>
              <w:rPr>
                <w:rFonts w:ascii="Times New Roman" w:cs="Times New Roman" w:eastAsia="Times New Roman" w:hAnsi="Times New Roman"/>
                <w:sz w:val="22"/>
                <w:szCs w:val="22"/>
                <w:color w:val="000000"/>
              </w:rPr>
              <w:t>,</w:t>
            </w:r>
          </w:p>
        </w:tc>
        <w:tc>
          <w:tcPr>
            <w:tcW w:w="280" w:type="dxa"/>
            <w:vAlign w:val="bottom"/>
          </w:tcPr>
          <w:p>
            <w:pPr>
              <w:spacing w:after="0"/>
              <w:rPr>
                <w:sz w:val="24"/>
                <w:szCs w:val="24"/>
                <w:color w:val="auto"/>
              </w:rPr>
            </w:pPr>
          </w:p>
        </w:tc>
        <w:tc>
          <w:tcPr>
            <w:tcW w:w="860" w:type="dxa"/>
            <w:vAlign w:val="bottom"/>
            <w:gridSpan w:val="3"/>
            <w:shd w:val="clear" w:color="auto" w:fill="FECAF4"/>
          </w:tcPr>
          <w:p>
            <w:pPr>
              <w:spacing w:after="0"/>
              <w:rPr>
                <w:sz w:val="24"/>
                <w:szCs w:val="24"/>
                <w:color w:val="auto"/>
              </w:rPr>
            </w:pPr>
          </w:p>
        </w:tc>
        <w:tc>
          <w:tcPr>
            <w:tcW w:w="980" w:type="dxa"/>
            <w:vAlign w:val="bottom"/>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shd w:val="clear" w:color="auto" w:fill="FECAF4"/>
          </w:tcPr>
          <w:p>
            <w:pPr>
              <w:spacing w:after="0"/>
              <w:rPr>
                <w:sz w:val="24"/>
                <w:szCs w:val="24"/>
                <w:color w:val="auto"/>
              </w:rPr>
            </w:pPr>
          </w:p>
        </w:tc>
        <w:tc>
          <w:tcPr>
            <w:tcW w:w="280" w:type="dxa"/>
            <w:vAlign w:val="bottom"/>
            <w:shd w:val="clear" w:color="auto" w:fill="FECAF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5"/>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7"/>
              </w:rPr>
              <w:t>June 30, 2027</w:t>
            </w:r>
          </w:p>
        </w:tc>
        <w:tc>
          <w:tcPr>
            <w:tcW w:w="980" w:type="dxa"/>
            <w:vAlign w:val="bottom"/>
            <w:gridSpan w:val="5"/>
          </w:tcPr>
          <w:p>
            <w:pPr>
              <w:spacing w:after="0"/>
              <w:rPr>
                <w:sz w:val="20"/>
                <w:szCs w:val="20"/>
                <w:color w:val="auto"/>
              </w:rPr>
            </w:pPr>
            <w:r>
              <w:rPr>
                <w:rFonts w:ascii="Times New Roman" w:cs="Times New Roman" w:eastAsia="Times New Roman" w:hAnsi="Times New Roman"/>
                <w:sz w:val="22"/>
                <w:szCs w:val="22"/>
                <w:u w:val="single" w:color="auto"/>
                <w:color w:val="0000FF"/>
                <w:w w:val="94"/>
              </w:rPr>
              <w:t>$</w:t>
            </w:r>
            <w:r>
              <w:rPr>
                <w:rFonts w:ascii="Times New Roman" w:cs="Times New Roman" w:eastAsia="Times New Roman" w:hAnsi="Times New Roman"/>
                <w:sz w:val="22"/>
                <w:szCs w:val="22"/>
                <w:color w:val="0000FF"/>
                <w:w w:val="94"/>
              </w:rPr>
              <w:t>5,358,080</w:t>
            </w:r>
          </w:p>
        </w:tc>
        <w:tc>
          <w:tcPr>
            <w:tcW w:w="5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shd w:val="clear" w:color="auto" w:fill="FECAF4"/>
          </w:tcPr>
          <w:p>
            <w:pPr>
              <w:spacing w:after="0"/>
              <w:rPr>
                <w:sz w:val="24"/>
                <w:szCs w:val="24"/>
                <w:color w:val="auto"/>
              </w:rPr>
            </w:pPr>
          </w:p>
        </w:tc>
        <w:tc>
          <w:tcPr>
            <w:tcW w:w="980" w:type="dxa"/>
            <w:vAlign w:val="bottom"/>
            <w:gridSpan w:val="2"/>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6"/>
              </w:rPr>
              <w:t>$8,125,000</w:t>
            </w:r>
          </w:p>
        </w:tc>
        <w:tc>
          <w:tcPr>
            <w:tcW w:w="920" w:type="dxa"/>
            <w:vAlign w:val="bottom"/>
            <w:shd w:val="clear" w:color="auto" w:fill="FECAF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42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980" w:type="dxa"/>
            <w:vAlign w:val="bottom"/>
            <w:shd w:val="clear" w:color="auto" w:fill="FECAF4"/>
          </w:tcPr>
          <w:p>
            <w:pPr>
              <w:spacing w:after="0" w:line="20" w:lineRule="exact"/>
              <w:rPr>
                <w:sz w:val="1"/>
                <w:szCs w:val="1"/>
                <w:color w:val="auto"/>
              </w:rPr>
            </w:pPr>
          </w:p>
        </w:tc>
        <w:tc>
          <w:tcPr>
            <w:tcW w:w="580" w:type="dxa"/>
            <w:vAlign w:val="bottom"/>
            <w:shd w:val="clear" w:color="auto" w:fill="FECAF4"/>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260" w:type="dxa"/>
            <w:vAlign w:val="bottom"/>
            <w:shd w:val="clear" w:color="auto" w:fill="FECAF4"/>
          </w:tcPr>
          <w:p>
            <w:pPr>
              <w:spacing w:after="0" w:line="20" w:lineRule="exact"/>
              <w:rPr>
                <w:sz w:val="1"/>
                <w:szCs w:val="1"/>
                <w:color w:val="auto"/>
              </w:rPr>
            </w:pPr>
          </w:p>
        </w:tc>
        <w:tc>
          <w:tcPr>
            <w:tcW w:w="320" w:type="dxa"/>
            <w:vAlign w:val="bottom"/>
            <w:shd w:val="clear" w:color="auto" w:fill="FECAF4"/>
          </w:tcPr>
          <w:p>
            <w:pPr>
              <w:spacing w:after="0" w:line="20" w:lineRule="exact"/>
              <w:rPr>
                <w:sz w:val="1"/>
                <w:szCs w:val="1"/>
                <w:color w:val="auto"/>
              </w:rPr>
            </w:pPr>
          </w:p>
        </w:tc>
        <w:tc>
          <w:tcPr>
            <w:tcW w:w="940" w:type="dxa"/>
            <w:vAlign w:val="bottom"/>
            <w:shd w:val="clear" w:color="auto" w:fill="FECAF4"/>
          </w:tcPr>
          <w:p>
            <w:pPr>
              <w:spacing w:after="0" w:line="20" w:lineRule="exact"/>
              <w:rPr>
                <w:sz w:val="1"/>
                <w:szCs w:val="1"/>
                <w:color w:val="auto"/>
              </w:rPr>
            </w:pPr>
          </w:p>
        </w:tc>
        <w:tc>
          <w:tcPr>
            <w:tcW w:w="40" w:type="dxa"/>
            <w:vAlign w:val="bottom"/>
            <w:shd w:val="clear" w:color="auto" w:fill="FECAF4"/>
          </w:tcPr>
          <w:p>
            <w:pPr>
              <w:spacing w:after="0" w:line="20" w:lineRule="exact"/>
              <w:rPr>
                <w:sz w:val="1"/>
                <w:szCs w:val="1"/>
                <w:color w:val="auto"/>
              </w:rPr>
            </w:pPr>
          </w:p>
        </w:tc>
        <w:tc>
          <w:tcPr>
            <w:tcW w:w="920" w:type="dxa"/>
            <w:vAlign w:val="bottom"/>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 w:type="dxa"/>
            <w:vAlign w:val="bottom"/>
          </w:tcPr>
          <w:p>
            <w:pPr>
              <w:spacing w:after="0"/>
              <w:rPr>
                <w:sz w:val="24"/>
                <w:szCs w:val="24"/>
                <w:color w:val="auto"/>
              </w:rPr>
            </w:pPr>
          </w:p>
        </w:tc>
        <w:tc>
          <w:tcPr>
            <w:tcW w:w="4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86"/>
              </w:rPr>
              <w:t>2025</w:t>
            </w:r>
          </w:p>
        </w:tc>
        <w:tc>
          <w:tcPr>
            <w:tcW w:w="4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5"/>
              </w:rPr>
              <w:t>2027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FECAF4"/>
            </w:tcBorders>
            <w:shd w:val="clear" w:color="auto" w:fill="FECAF4"/>
          </w:tcPr>
          <w:p>
            <w:pPr>
              <w:spacing w:after="0"/>
              <w:rPr>
                <w:sz w:val="24"/>
                <w:szCs w:val="24"/>
                <w:color w:val="auto"/>
              </w:rPr>
            </w:pPr>
          </w:p>
        </w:tc>
        <w:tc>
          <w:tcPr>
            <w:tcW w:w="420" w:type="dxa"/>
            <w:vAlign w:val="bottom"/>
            <w:tcBorders>
              <w:bottom w:val="single" w:sz="8" w:color="FECAF4"/>
            </w:tcBorders>
            <w:shd w:val="clear" w:color="auto" w:fill="FECAF4"/>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980" w:type="dxa"/>
            <w:vAlign w:val="bottom"/>
            <w:tcBorders>
              <w:bottom w:val="single" w:sz="8" w:color="FECAF4"/>
            </w:tcBorders>
            <w:shd w:val="clear" w:color="auto" w:fill="FECAF4"/>
          </w:tcPr>
          <w:p>
            <w:pPr>
              <w:spacing w:after="0"/>
              <w:rPr>
                <w:sz w:val="24"/>
                <w:szCs w:val="24"/>
                <w:color w:val="auto"/>
              </w:rPr>
            </w:pPr>
          </w:p>
        </w:tc>
        <w:tc>
          <w:tcPr>
            <w:tcW w:w="580" w:type="dxa"/>
            <w:vAlign w:val="bottom"/>
            <w:tcBorders>
              <w:bottom w:val="single" w:sz="8" w:color="FECAF4"/>
            </w:tcBorders>
            <w:shd w:val="clear" w:color="auto" w:fill="FECAF4"/>
          </w:tcPr>
          <w:p>
            <w:pPr>
              <w:spacing w:after="0"/>
              <w:rPr>
                <w:sz w:val="24"/>
                <w:szCs w:val="24"/>
                <w:color w:val="auto"/>
              </w:rPr>
            </w:pPr>
          </w:p>
        </w:tc>
        <w:tc>
          <w:tcPr>
            <w:tcW w:w="280" w:type="dxa"/>
            <w:vAlign w:val="bottom"/>
            <w:tcBorders>
              <w:bottom w:val="single" w:sz="8" w:color="FECAF4"/>
            </w:tcBorders>
            <w:shd w:val="clear" w:color="auto" w:fill="FECAF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260" w:type="dxa"/>
            <w:vAlign w:val="bottom"/>
            <w:tcBorders>
              <w:bottom w:val="single" w:sz="8" w:color="FECAF4"/>
            </w:tcBorders>
            <w:shd w:val="clear" w:color="auto" w:fill="FECAF4"/>
          </w:tcPr>
          <w:p>
            <w:pPr>
              <w:spacing w:after="0"/>
              <w:rPr>
                <w:sz w:val="24"/>
                <w:szCs w:val="24"/>
                <w:color w:val="auto"/>
              </w:rPr>
            </w:pPr>
          </w:p>
        </w:tc>
        <w:tc>
          <w:tcPr>
            <w:tcW w:w="320" w:type="dxa"/>
            <w:vAlign w:val="bottom"/>
            <w:tcBorders>
              <w:bottom w:val="single" w:sz="8" w:color="FECAF4"/>
            </w:tcBorders>
            <w:shd w:val="clear" w:color="auto" w:fill="FECAF4"/>
          </w:tcPr>
          <w:p>
            <w:pPr>
              <w:spacing w:after="0"/>
              <w:rPr>
                <w:sz w:val="24"/>
                <w:szCs w:val="24"/>
                <w:color w:val="auto"/>
              </w:rPr>
            </w:pPr>
          </w:p>
        </w:tc>
        <w:tc>
          <w:tcPr>
            <w:tcW w:w="940" w:type="dxa"/>
            <w:vAlign w:val="bottom"/>
            <w:tcBorders>
              <w:bottom w:val="single" w:sz="8" w:color="FECAF4"/>
            </w:tcBorders>
            <w:shd w:val="clear" w:color="auto" w:fill="FECAF4"/>
          </w:tcPr>
          <w:p>
            <w:pPr>
              <w:spacing w:after="0"/>
              <w:rPr>
                <w:sz w:val="24"/>
                <w:szCs w:val="24"/>
                <w:color w:val="auto"/>
              </w:rPr>
            </w:pPr>
          </w:p>
        </w:tc>
        <w:tc>
          <w:tcPr>
            <w:tcW w:w="40" w:type="dxa"/>
            <w:vAlign w:val="bottom"/>
            <w:tcBorders>
              <w:bottom w:val="single" w:sz="8" w:color="FECAF4"/>
            </w:tcBorders>
            <w:shd w:val="clear" w:color="auto" w:fill="FECAF4"/>
          </w:tcPr>
          <w:p>
            <w:pPr>
              <w:spacing w:after="0"/>
              <w:rPr>
                <w:sz w:val="24"/>
                <w:szCs w:val="24"/>
                <w:color w:val="auto"/>
              </w:rPr>
            </w:pPr>
          </w:p>
        </w:tc>
        <w:tc>
          <w:tcPr>
            <w:tcW w:w="920" w:type="dxa"/>
            <w:vAlign w:val="bottom"/>
            <w:tcBorders>
              <w:bottom w:val="single" w:sz="8" w:color="FECAF4"/>
            </w:tcBorders>
            <w:shd w:val="clear" w:color="auto" w:fill="FECAF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CCCCFF"/>
            </w:tcBorders>
            <w:shd w:val="clear" w:color="auto" w:fill="CCCCFF"/>
          </w:tcPr>
          <w:p>
            <w:pPr>
              <w:spacing w:after="0"/>
              <w:rPr>
                <w:sz w:val="18"/>
                <w:szCs w:val="18"/>
                <w:color w:val="auto"/>
              </w:rPr>
            </w:pPr>
          </w:p>
        </w:tc>
        <w:tc>
          <w:tcPr>
            <w:tcW w:w="1260" w:type="dxa"/>
            <w:vAlign w:val="bottom"/>
            <w:tcBorders>
              <w:bottom w:val="single" w:sz="8" w:color="0000FF"/>
              <w:right w:val="single" w:sz="8" w:color="CCCCFF"/>
            </w:tcBorders>
            <w:gridSpan w:val="10"/>
            <w:shd w:val="clear" w:color="auto" w:fill="CCCCFF"/>
          </w:tcPr>
          <w:p>
            <w:pPr>
              <w:spacing w:after="0" w:line="216" w:lineRule="exact"/>
              <w:rPr>
                <w:sz w:val="20"/>
                <w:szCs w:val="20"/>
                <w:color w:val="auto"/>
              </w:rPr>
            </w:pPr>
            <w:r>
              <w:rPr>
                <w:rFonts w:ascii="Times New Roman" w:cs="Times New Roman" w:eastAsia="Times New Roman" w:hAnsi="Times New Roman"/>
                <w:sz w:val="22"/>
                <w:szCs w:val="22"/>
                <w:color w:val="0000FF"/>
                <w:w w:val="95"/>
              </w:rPr>
              <w:t>Sept. 30, 2027</w:t>
            </w:r>
          </w:p>
        </w:tc>
        <w:tc>
          <w:tcPr>
            <w:tcW w:w="660" w:type="dxa"/>
            <w:vAlign w:val="bottom"/>
            <w:tcBorders>
              <w:left w:val="single" w:sz="8" w:color="CCCCFF"/>
              <w:bottom w:val="single" w:sz="8" w:color="CCCCFF"/>
            </w:tcBorders>
            <w:gridSpan w:val="6"/>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420" w:type="dxa"/>
            <w:vAlign w:val="bottom"/>
            <w:tcBorders>
              <w:bottom w:val="single" w:sz="8" w:color="CCCCFF"/>
            </w:tcBorders>
            <w:shd w:val="clear" w:color="auto" w:fill="CCCCFF"/>
          </w:tcPr>
          <w:p>
            <w:pPr>
              <w:spacing w:after="0"/>
              <w:rPr>
                <w:sz w:val="18"/>
                <w:szCs w:val="18"/>
                <w:color w:val="auto"/>
              </w:rPr>
            </w:pPr>
          </w:p>
        </w:tc>
        <w:tc>
          <w:tcPr>
            <w:tcW w:w="160" w:type="dxa"/>
            <w:vAlign w:val="bottom"/>
            <w:tcBorders>
              <w:bottom w:val="single" w:sz="8" w:color="CCCCFF"/>
            </w:tcBorders>
            <w:shd w:val="clear" w:color="auto" w:fill="CCCCFF"/>
          </w:tcPr>
          <w:p>
            <w:pPr>
              <w:spacing w:after="0"/>
              <w:rPr>
                <w:sz w:val="18"/>
                <w:szCs w:val="18"/>
                <w:color w:val="auto"/>
              </w:rPr>
            </w:pPr>
          </w:p>
        </w:tc>
        <w:tc>
          <w:tcPr>
            <w:tcW w:w="980" w:type="dxa"/>
            <w:vAlign w:val="bottom"/>
            <w:tcBorders>
              <w:bottom w:val="single" w:sz="8" w:color="CCCCFF"/>
            </w:tcBorders>
            <w:shd w:val="clear" w:color="auto" w:fill="CCCCFF"/>
          </w:tcPr>
          <w:p>
            <w:pPr>
              <w:spacing w:after="0"/>
              <w:rPr>
                <w:sz w:val="18"/>
                <w:szCs w:val="18"/>
                <w:color w:val="auto"/>
              </w:rPr>
            </w:pPr>
          </w:p>
        </w:tc>
        <w:tc>
          <w:tcPr>
            <w:tcW w:w="580" w:type="dxa"/>
            <w:vAlign w:val="bottom"/>
            <w:tcBorders>
              <w:bottom w:val="single" w:sz="8" w:color="CCCCFF"/>
            </w:tcBorders>
            <w:shd w:val="clear" w:color="auto" w:fill="CCCCFF"/>
          </w:tcPr>
          <w:p>
            <w:pPr>
              <w:spacing w:after="0"/>
              <w:rPr>
                <w:sz w:val="18"/>
                <w:szCs w:val="18"/>
                <w:color w:val="auto"/>
              </w:rPr>
            </w:pPr>
          </w:p>
        </w:tc>
        <w:tc>
          <w:tcPr>
            <w:tcW w:w="280" w:type="dxa"/>
            <w:vAlign w:val="bottom"/>
            <w:tcBorders>
              <w:bottom w:val="single" w:sz="8" w:color="CCCCFF"/>
            </w:tcBorders>
            <w:shd w:val="clear" w:color="auto" w:fill="CCCCFF"/>
          </w:tcPr>
          <w:p>
            <w:pPr>
              <w:spacing w:after="0"/>
              <w:rPr>
                <w:sz w:val="18"/>
                <w:szCs w:val="18"/>
                <w:color w:val="auto"/>
              </w:rPr>
            </w:pPr>
          </w:p>
        </w:tc>
        <w:tc>
          <w:tcPr>
            <w:tcW w:w="2640" w:type="dxa"/>
            <w:vAlign w:val="bottom"/>
            <w:tcBorders>
              <w:bottom w:val="single" w:sz="8" w:color="CCCCFF"/>
            </w:tcBorders>
            <w:gridSpan w:val="11"/>
            <w:shd w:val="clear" w:color="auto" w:fill="CCCCFF"/>
          </w:tcPr>
          <w:p>
            <w:pPr>
              <w:spacing w:after="0"/>
              <w:rPr>
                <w:sz w:val="18"/>
                <w:szCs w:val="18"/>
                <w:color w:val="auto"/>
              </w:rPr>
            </w:pPr>
          </w:p>
        </w:tc>
        <w:tc>
          <w:tcPr>
            <w:tcW w:w="820" w:type="dxa"/>
            <w:vAlign w:val="bottom"/>
            <w:tcBorders>
              <w:bottom w:val="single" w:sz="8" w:color="0000FF"/>
            </w:tcBorders>
            <w:gridSpan w:val="7"/>
            <w:shd w:val="clear" w:color="auto" w:fill="CCCCFF"/>
          </w:tcPr>
          <w:p>
            <w:pPr>
              <w:spacing w:after="0" w:line="216" w:lineRule="exact"/>
              <w:rPr>
                <w:sz w:val="20"/>
                <w:szCs w:val="20"/>
                <w:color w:val="auto"/>
              </w:rPr>
            </w:pPr>
            <w:r>
              <w:rPr>
                <w:rFonts w:ascii="Times New Roman" w:cs="Times New Roman" w:eastAsia="Times New Roman" w:hAnsi="Times New Roman"/>
                <w:sz w:val="22"/>
                <w:szCs w:val="22"/>
                <w:u w:val="single" w:color="auto"/>
                <w:color w:val="0000FF"/>
                <w:w w:val="80"/>
              </w:rPr>
              <w:t>$</w:t>
            </w:r>
            <w:r>
              <w:rPr>
                <w:rFonts w:ascii="Times New Roman" w:cs="Times New Roman" w:eastAsia="Times New Roman" w:hAnsi="Times New Roman"/>
                <w:sz w:val="22"/>
                <w:szCs w:val="22"/>
                <w:color w:val="0000FF"/>
                <w:w w:val="80"/>
              </w:rPr>
              <w:t>5,358,080</w:t>
            </w:r>
          </w:p>
        </w:tc>
        <w:tc>
          <w:tcPr>
            <w:tcW w:w="160" w:type="dxa"/>
            <w:vAlign w:val="bottom"/>
            <w:tcBorders>
              <w:bottom w:val="single" w:sz="8" w:color="0000FF"/>
            </w:tcBorders>
            <w:shd w:val="clear" w:color="auto" w:fill="CCCCFF"/>
          </w:tcPr>
          <w:p>
            <w:pPr>
              <w:spacing w:after="0"/>
              <w:rPr>
                <w:sz w:val="18"/>
                <w:szCs w:val="18"/>
                <w:color w:val="auto"/>
              </w:rPr>
            </w:pPr>
          </w:p>
        </w:tc>
        <w:tc>
          <w:tcPr>
            <w:tcW w:w="160" w:type="dxa"/>
            <w:vAlign w:val="bottom"/>
            <w:tcBorders>
              <w:bottom w:val="single" w:sz="8" w:color="CCCCFF"/>
            </w:tcBorders>
            <w:shd w:val="clear" w:color="auto" w:fill="CCCCFF"/>
          </w:tcPr>
          <w:p>
            <w:pPr>
              <w:spacing w:after="0"/>
              <w:rPr>
                <w:sz w:val="18"/>
                <w:szCs w:val="18"/>
                <w:color w:val="auto"/>
              </w:rPr>
            </w:pPr>
          </w:p>
        </w:tc>
        <w:tc>
          <w:tcPr>
            <w:tcW w:w="260" w:type="dxa"/>
            <w:vAlign w:val="bottom"/>
            <w:tcBorders>
              <w:bottom w:val="single" w:sz="8" w:color="CCCCFF"/>
            </w:tcBorders>
            <w:shd w:val="clear" w:color="auto" w:fill="CCCCFF"/>
          </w:tcPr>
          <w:p>
            <w:pPr>
              <w:spacing w:after="0"/>
              <w:rPr>
                <w:sz w:val="18"/>
                <w:szCs w:val="18"/>
                <w:color w:val="auto"/>
              </w:rPr>
            </w:pPr>
          </w:p>
        </w:tc>
        <w:tc>
          <w:tcPr>
            <w:tcW w:w="320" w:type="dxa"/>
            <w:vAlign w:val="bottom"/>
            <w:tcBorders>
              <w:bottom w:val="single" w:sz="8" w:color="CCCCFF"/>
            </w:tcBorders>
            <w:shd w:val="clear" w:color="auto" w:fill="CCCCFF"/>
          </w:tcPr>
          <w:p>
            <w:pPr>
              <w:spacing w:after="0"/>
              <w:rPr>
                <w:sz w:val="18"/>
                <w:szCs w:val="18"/>
                <w:color w:val="auto"/>
              </w:rPr>
            </w:pPr>
          </w:p>
        </w:tc>
        <w:tc>
          <w:tcPr>
            <w:tcW w:w="940" w:type="dxa"/>
            <w:vAlign w:val="bottom"/>
            <w:tcBorders>
              <w:bottom w:val="single" w:sz="8" w:color="CCCCFF"/>
            </w:tcBorders>
            <w:shd w:val="clear" w:color="auto" w:fill="CCCCFF"/>
          </w:tcPr>
          <w:p>
            <w:pPr>
              <w:spacing w:after="0"/>
              <w:rPr>
                <w:sz w:val="18"/>
                <w:szCs w:val="18"/>
                <w:color w:val="auto"/>
              </w:rPr>
            </w:pPr>
          </w:p>
        </w:tc>
        <w:tc>
          <w:tcPr>
            <w:tcW w:w="40" w:type="dxa"/>
            <w:vAlign w:val="bottom"/>
            <w:tcBorders>
              <w:bottom w:val="single" w:sz="8" w:color="CCCCFF"/>
            </w:tcBorders>
            <w:shd w:val="clear" w:color="auto" w:fill="CCCCFF"/>
          </w:tcPr>
          <w:p>
            <w:pPr>
              <w:spacing w:after="0"/>
              <w:rPr>
                <w:sz w:val="18"/>
                <w:szCs w:val="18"/>
                <w:color w:val="auto"/>
              </w:rPr>
            </w:pPr>
          </w:p>
        </w:tc>
        <w:tc>
          <w:tcPr>
            <w:tcW w:w="920" w:type="dxa"/>
            <w:vAlign w:val="bottom"/>
            <w:tcBorders>
              <w:bottom w:val="single" w:sz="8" w:color="CCCCFF"/>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CCFF"/>
            </w:tcBorders>
            <w:shd w:val="clear" w:color="auto" w:fill="CCCCFF"/>
          </w:tcPr>
          <w:p>
            <w:pPr>
              <w:spacing w:after="0"/>
              <w:rPr>
                <w:sz w:val="21"/>
                <w:szCs w:val="21"/>
                <w:color w:val="auto"/>
              </w:rPr>
            </w:pPr>
          </w:p>
        </w:tc>
        <w:tc>
          <w:tcPr>
            <w:tcW w:w="1260" w:type="dxa"/>
            <w:vAlign w:val="bottom"/>
            <w:tcBorders>
              <w:bottom w:val="single" w:sz="8" w:color="0000FF"/>
              <w:right w:val="single" w:sz="8" w:color="CCCCFF"/>
            </w:tcBorders>
            <w:gridSpan w:val="10"/>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8"/>
              </w:rPr>
              <w:t>Dec. 31, 2027</w:t>
            </w:r>
          </w:p>
        </w:tc>
        <w:tc>
          <w:tcPr>
            <w:tcW w:w="660" w:type="dxa"/>
            <w:vAlign w:val="bottom"/>
            <w:tcBorders>
              <w:left w:val="single" w:sz="8" w:color="CCCCFF"/>
              <w:bottom w:val="single" w:sz="8" w:color="CCCCFF"/>
            </w:tcBorders>
            <w:gridSpan w:val="6"/>
            <w:shd w:val="clear" w:color="auto" w:fill="CCCCFF"/>
          </w:tcPr>
          <w:p>
            <w:pPr>
              <w:spacing w:after="0"/>
              <w:rPr>
                <w:sz w:val="21"/>
                <w:szCs w:val="21"/>
                <w:color w:val="auto"/>
              </w:rPr>
            </w:pPr>
          </w:p>
        </w:tc>
        <w:tc>
          <w:tcPr>
            <w:tcW w:w="280" w:type="dxa"/>
            <w:vAlign w:val="bottom"/>
            <w:tcBorders>
              <w:bottom w:val="single" w:sz="8" w:color="CCCCFF"/>
            </w:tcBorders>
            <w:shd w:val="clear" w:color="auto" w:fill="CCCCFF"/>
          </w:tcPr>
          <w:p>
            <w:pPr>
              <w:spacing w:after="0"/>
              <w:rPr>
                <w:sz w:val="21"/>
                <w:szCs w:val="21"/>
                <w:color w:val="auto"/>
              </w:rPr>
            </w:pPr>
          </w:p>
        </w:tc>
        <w:tc>
          <w:tcPr>
            <w:tcW w:w="280" w:type="dxa"/>
            <w:vAlign w:val="bottom"/>
            <w:tcBorders>
              <w:bottom w:val="single" w:sz="8" w:color="CCCCFF"/>
            </w:tcBorders>
            <w:shd w:val="clear" w:color="auto" w:fill="CCCCFF"/>
          </w:tcPr>
          <w:p>
            <w:pPr>
              <w:spacing w:after="0"/>
              <w:rPr>
                <w:sz w:val="21"/>
                <w:szCs w:val="21"/>
                <w:color w:val="auto"/>
              </w:rPr>
            </w:pPr>
          </w:p>
        </w:tc>
        <w:tc>
          <w:tcPr>
            <w:tcW w:w="420" w:type="dxa"/>
            <w:vAlign w:val="bottom"/>
            <w:tcBorders>
              <w:bottom w:val="single" w:sz="8" w:color="CCCCFF"/>
            </w:tcBorders>
            <w:shd w:val="clear" w:color="auto" w:fill="CCCCFF"/>
          </w:tcPr>
          <w:p>
            <w:pPr>
              <w:spacing w:after="0"/>
              <w:rPr>
                <w:sz w:val="21"/>
                <w:szCs w:val="21"/>
                <w:color w:val="auto"/>
              </w:rPr>
            </w:pPr>
          </w:p>
        </w:tc>
        <w:tc>
          <w:tcPr>
            <w:tcW w:w="160" w:type="dxa"/>
            <w:vAlign w:val="bottom"/>
            <w:tcBorders>
              <w:bottom w:val="single" w:sz="8" w:color="CCCCFF"/>
            </w:tcBorders>
            <w:shd w:val="clear" w:color="auto" w:fill="CCCCFF"/>
          </w:tcPr>
          <w:p>
            <w:pPr>
              <w:spacing w:after="0"/>
              <w:rPr>
                <w:sz w:val="21"/>
                <w:szCs w:val="21"/>
                <w:color w:val="auto"/>
              </w:rPr>
            </w:pPr>
          </w:p>
        </w:tc>
        <w:tc>
          <w:tcPr>
            <w:tcW w:w="980" w:type="dxa"/>
            <w:vAlign w:val="bottom"/>
            <w:tcBorders>
              <w:bottom w:val="single" w:sz="8" w:color="CCCCFF"/>
            </w:tcBorders>
            <w:shd w:val="clear" w:color="auto" w:fill="CCCCFF"/>
          </w:tcPr>
          <w:p>
            <w:pPr>
              <w:spacing w:after="0"/>
              <w:rPr>
                <w:sz w:val="21"/>
                <w:szCs w:val="21"/>
                <w:color w:val="auto"/>
              </w:rPr>
            </w:pPr>
          </w:p>
        </w:tc>
        <w:tc>
          <w:tcPr>
            <w:tcW w:w="580" w:type="dxa"/>
            <w:vAlign w:val="bottom"/>
            <w:tcBorders>
              <w:bottom w:val="single" w:sz="8" w:color="CCCCFF"/>
            </w:tcBorders>
            <w:shd w:val="clear" w:color="auto" w:fill="CCCCFF"/>
          </w:tcPr>
          <w:p>
            <w:pPr>
              <w:spacing w:after="0"/>
              <w:rPr>
                <w:sz w:val="21"/>
                <w:szCs w:val="21"/>
                <w:color w:val="auto"/>
              </w:rPr>
            </w:pPr>
          </w:p>
        </w:tc>
        <w:tc>
          <w:tcPr>
            <w:tcW w:w="280" w:type="dxa"/>
            <w:vAlign w:val="bottom"/>
            <w:tcBorders>
              <w:bottom w:val="single" w:sz="8" w:color="CCCCFF"/>
            </w:tcBorders>
            <w:shd w:val="clear" w:color="auto" w:fill="CCCCFF"/>
          </w:tcPr>
          <w:p>
            <w:pPr>
              <w:spacing w:after="0"/>
              <w:rPr>
                <w:sz w:val="21"/>
                <w:szCs w:val="21"/>
                <w:color w:val="auto"/>
              </w:rPr>
            </w:pPr>
          </w:p>
        </w:tc>
        <w:tc>
          <w:tcPr>
            <w:tcW w:w="2640" w:type="dxa"/>
            <w:vAlign w:val="bottom"/>
            <w:tcBorders>
              <w:bottom w:val="single" w:sz="8" w:color="CCCCFF"/>
            </w:tcBorders>
            <w:gridSpan w:val="11"/>
            <w:shd w:val="clear" w:color="auto" w:fill="CCCCFF"/>
          </w:tcPr>
          <w:p>
            <w:pPr>
              <w:spacing w:after="0"/>
              <w:rPr>
                <w:sz w:val="21"/>
                <w:szCs w:val="21"/>
                <w:color w:val="auto"/>
              </w:rPr>
            </w:pPr>
          </w:p>
        </w:tc>
        <w:tc>
          <w:tcPr>
            <w:tcW w:w="980" w:type="dxa"/>
            <w:vAlign w:val="bottom"/>
            <w:tcBorders>
              <w:bottom w:val="single" w:sz="8" w:color="0000FF"/>
            </w:tcBorders>
            <w:gridSpan w:val="8"/>
            <w:shd w:val="clear" w:color="auto" w:fill="CCCCFF"/>
          </w:tcPr>
          <w:p>
            <w:pPr>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160" w:type="dxa"/>
            <w:vAlign w:val="bottom"/>
            <w:tcBorders>
              <w:bottom w:val="single" w:sz="8" w:color="CCCCFF"/>
            </w:tcBorders>
            <w:shd w:val="clear" w:color="auto" w:fill="CCCCFF"/>
          </w:tcPr>
          <w:p>
            <w:pPr>
              <w:spacing w:after="0"/>
              <w:rPr>
                <w:sz w:val="21"/>
                <w:szCs w:val="21"/>
                <w:color w:val="auto"/>
              </w:rPr>
            </w:pPr>
          </w:p>
        </w:tc>
        <w:tc>
          <w:tcPr>
            <w:tcW w:w="260" w:type="dxa"/>
            <w:vAlign w:val="bottom"/>
            <w:tcBorders>
              <w:bottom w:val="single" w:sz="8" w:color="CCCCFF"/>
            </w:tcBorders>
            <w:shd w:val="clear" w:color="auto" w:fill="CCCCFF"/>
          </w:tcPr>
          <w:p>
            <w:pPr>
              <w:spacing w:after="0"/>
              <w:rPr>
                <w:sz w:val="21"/>
                <w:szCs w:val="21"/>
                <w:color w:val="auto"/>
              </w:rPr>
            </w:pPr>
          </w:p>
        </w:tc>
        <w:tc>
          <w:tcPr>
            <w:tcW w:w="320" w:type="dxa"/>
            <w:vAlign w:val="bottom"/>
            <w:tcBorders>
              <w:bottom w:val="single" w:sz="8" w:color="CCCCFF"/>
            </w:tcBorders>
            <w:shd w:val="clear" w:color="auto" w:fill="CCCCFF"/>
          </w:tcPr>
          <w:p>
            <w:pPr>
              <w:spacing w:after="0"/>
              <w:rPr>
                <w:sz w:val="21"/>
                <w:szCs w:val="21"/>
                <w:color w:val="auto"/>
              </w:rPr>
            </w:pPr>
          </w:p>
        </w:tc>
        <w:tc>
          <w:tcPr>
            <w:tcW w:w="940" w:type="dxa"/>
            <w:vAlign w:val="bottom"/>
            <w:tcBorders>
              <w:bottom w:val="single" w:sz="8" w:color="CCCCFF"/>
            </w:tcBorders>
            <w:shd w:val="clear" w:color="auto" w:fill="CCCCFF"/>
          </w:tcPr>
          <w:p>
            <w:pPr>
              <w:spacing w:after="0"/>
              <w:rPr>
                <w:sz w:val="21"/>
                <w:szCs w:val="21"/>
                <w:color w:val="auto"/>
              </w:rPr>
            </w:pPr>
          </w:p>
        </w:tc>
        <w:tc>
          <w:tcPr>
            <w:tcW w:w="40" w:type="dxa"/>
            <w:vAlign w:val="bottom"/>
            <w:tcBorders>
              <w:bottom w:val="single" w:sz="8" w:color="CCCCFF"/>
            </w:tcBorders>
            <w:shd w:val="clear" w:color="auto" w:fill="CCCCFF"/>
          </w:tcPr>
          <w:p>
            <w:pPr>
              <w:spacing w:after="0"/>
              <w:rPr>
                <w:sz w:val="21"/>
                <w:szCs w:val="21"/>
                <w:color w:val="auto"/>
              </w:rPr>
            </w:pPr>
          </w:p>
        </w:tc>
        <w:tc>
          <w:tcPr>
            <w:tcW w:w="920" w:type="dxa"/>
            <w:vAlign w:val="bottom"/>
            <w:tcBorders>
              <w:bottom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shd w:val="clear" w:color="auto" w:fill="CCCCFF"/>
          </w:tcPr>
          <w:p>
            <w:pPr>
              <w:spacing w:after="0"/>
              <w:rPr>
                <w:sz w:val="21"/>
                <w:szCs w:val="21"/>
                <w:color w:val="auto"/>
              </w:rPr>
            </w:pPr>
          </w:p>
        </w:tc>
        <w:tc>
          <w:tcPr>
            <w:tcW w:w="1920" w:type="dxa"/>
            <w:vAlign w:val="bottom"/>
            <w:gridSpan w:val="16"/>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March 31, 2028</w:t>
            </w:r>
          </w:p>
        </w:tc>
        <w:tc>
          <w:tcPr>
            <w:tcW w:w="280" w:type="dxa"/>
            <w:vAlign w:val="bottom"/>
            <w:shd w:val="clear" w:color="auto" w:fill="CCCCFF"/>
          </w:tcPr>
          <w:p>
            <w:pPr>
              <w:spacing w:after="0"/>
              <w:rPr>
                <w:sz w:val="21"/>
                <w:szCs w:val="21"/>
                <w:color w:val="auto"/>
              </w:rPr>
            </w:pPr>
          </w:p>
        </w:tc>
        <w:tc>
          <w:tcPr>
            <w:tcW w:w="280" w:type="dxa"/>
            <w:vAlign w:val="bottom"/>
            <w:shd w:val="clear" w:color="auto" w:fill="CCCCFF"/>
          </w:tcPr>
          <w:p>
            <w:pPr>
              <w:spacing w:after="0"/>
              <w:rPr>
                <w:sz w:val="21"/>
                <w:szCs w:val="21"/>
                <w:color w:val="auto"/>
              </w:rPr>
            </w:pPr>
          </w:p>
        </w:tc>
        <w:tc>
          <w:tcPr>
            <w:tcW w:w="420" w:type="dxa"/>
            <w:vAlign w:val="bottom"/>
            <w:shd w:val="clear" w:color="auto" w:fill="CCCCFF"/>
          </w:tcPr>
          <w:p>
            <w:pPr>
              <w:spacing w:after="0"/>
              <w:rPr>
                <w:sz w:val="21"/>
                <w:szCs w:val="21"/>
                <w:color w:val="auto"/>
              </w:rPr>
            </w:pPr>
          </w:p>
        </w:tc>
        <w:tc>
          <w:tcPr>
            <w:tcW w:w="160" w:type="dxa"/>
            <w:vAlign w:val="bottom"/>
            <w:shd w:val="clear" w:color="auto" w:fill="CCCCFF"/>
          </w:tcPr>
          <w:p>
            <w:pPr>
              <w:spacing w:after="0"/>
              <w:rPr>
                <w:sz w:val="21"/>
                <w:szCs w:val="21"/>
                <w:color w:val="auto"/>
              </w:rPr>
            </w:pPr>
          </w:p>
        </w:tc>
        <w:tc>
          <w:tcPr>
            <w:tcW w:w="980" w:type="dxa"/>
            <w:vAlign w:val="bottom"/>
            <w:shd w:val="clear" w:color="auto" w:fill="CCCCFF"/>
          </w:tcPr>
          <w:p>
            <w:pPr>
              <w:spacing w:after="0"/>
              <w:rPr>
                <w:sz w:val="21"/>
                <w:szCs w:val="21"/>
                <w:color w:val="auto"/>
              </w:rPr>
            </w:pPr>
          </w:p>
        </w:tc>
        <w:tc>
          <w:tcPr>
            <w:tcW w:w="580" w:type="dxa"/>
            <w:vAlign w:val="bottom"/>
            <w:shd w:val="clear" w:color="auto" w:fill="CCCCFF"/>
          </w:tcPr>
          <w:p>
            <w:pPr>
              <w:spacing w:after="0"/>
              <w:rPr>
                <w:sz w:val="21"/>
                <w:szCs w:val="21"/>
                <w:color w:val="auto"/>
              </w:rPr>
            </w:pPr>
          </w:p>
        </w:tc>
        <w:tc>
          <w:tcPr>
            <w:tcW w:w="280" w:type="dxa"/>
            <w:vAlign w:val="bottom"/>
            <w:shd w:val="clear" w:color="auto" w:fill="CCCCFF"/>
          </w:tcPr>
          <w:p>
            <w:pPr>
              <w:spacing w:after="0"/>
              <w:rPr>
                <w:sz w:val="21"/>
                <w:szCs w:val="21"/>
                <w:color w:val="auto"/>
              </w:rPr>
            </w:pPr>
          </w:p>
        </w:tc>
        <w:tc>
          <w:tcPr>
            <w:tcW w:w="3780" w:type="dxa"/>
            <w:vAlign w:val="bottom"/>
            <w:gridSpan w:val="20"/>
            <w:shd w:val="clear" w:color="auto" w:fill="CCCCFF"/>
          </w:tcPr>
          <w:p>
            <w:pPr>
              <w:ind w:left="2640"/>
              <w:spacing w:after="0" w:line="250"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5,358,080</w:t>
            </w:r>
          </w:p>
        </w:tc>
        <w:tc>
          <w:tcPr>
            <w:tcW w:w="260" w:type="dxa"/>
            <w:vAlign w:val="bottom"/>
            <w:shd w:val="clear" w:color="auto" w:fill="CCCCFF"/>
          </w:tcPr>
          <w:p>
            <w:pPr>
              <w:spacing w:after="0"/>
              <w:rPr>
                <w:sz w:val="21"/>
                <w:szCs w:val="21"/>
                <w:color w:val="auto"/>
              </w:rPr>
            </w:pPr>
          </w:p>
        </w:tc>
        <w:tc>
          <w:tcPr>
            <w:tcW w:w="320" w:type="dxa"/>
            <w:vAlign w:val="bottom"/>
            <w:shd w:val="clear" w:color="auto" w:fill="CCCCFF"/>
          </w:tcPr>
          <w:p>
            <w:pPr>
              <w:spacing w:after="0"/>
              <w:rPr>
                <w:sz w:val="21"/>
                <w:szCs w:val="21"/>
                <w:color w:val="auto"/>
              </w:rPr>
            </w:pPr>
          </w:p>
        </w:tc>
        <w:tc>
          <w:tcPr>
            <w:tcW w:w="940" w:type="dxa"/>
            <w:vAlign w:val="bottom"/>
            <w:shd w:val="clear" w:color="auto" w:fill="CCCCFF"/>
          </w:tcPr>
          <w:p>
            <w:pPr>
              <w:spacing w:after="0"/>
              <w:rPr>
                <w:sz w:val="21"/>
                <w:szCs w:val="21"/>
                <w:color w:val="auto"/>
              </w:rPr>
            </w:pPr>
          </w:p>
        </w:tc>
        <w:tc>
          <w:tcPr>
            <w:tcW w:w="40" w:type="dxa"/>
            <w:vAlign w:val="bottom"/>
            <w:shd w:val="clear" w:color="auto" w:fill="CCCCFF"/>
          </w:tcPr>
          <w:p>
            <w:pPr>
              <w:spacing w:after="0"/>
              <w:rPr>
                <w:sz w:val="21"/>
                <w:szCs w:val="21"/>
                <w:color w:val="auto"/>
              </w:rPr>
            </w:pPr>
          </w:p>
        </w:tc>
        <w:tc>
          <w:tcPr>
            <w:tcW w:w="920" w:type="dxa"/>
            <w:vAlign w:val="bottom"/>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0000FF"/>
              <w:right w:val="single" w:sz="8" w:color="CCCCFF"/>
            </w:tcBorders>
            <w:shd w:val="clear" w:color="auto" w:fill="CCCCFF"/>
          </w:tcPr>
          <w:p>
            <w:pPr>
              <w:spacing w:after="0"/>
              <w:rPr>
                <w:sz w:val="2"/>
                <w:szCs w:val="2"/>
                <w:color w:val="auto"/>
              </w:rPr>
            </w:pPr>
          </w:p>
        </w:tc>
        <w:tc>
          <w:tcPr>
            <w:tcW w:w="30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1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0000FF"/>
            </w:tcBorders>
            <w:shd w:val="clear" w:color="auto" w:fill="CCCCFF"/>
          </w:tcPr>
          <w:p>
            <w:pPr>
              <w:spacing w:after="0"/>
              <w:rPr>
                <w:sz w:val="2"/>
                <w:szCs w:val="2"/>
                <w:color w:val="auto"/>
              </w:rPr>
            </w:pPr>
          </w:p>
        </w:tc>
        <w:tc>
          <w:tcPr>
            <w:tcW w:w="2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0000FF"/>
              <w:left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CCCC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9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00" w:type="dxa"/>
            <w:vAlign w:val="bottom"/>
            <w:tcBorders>
              <w:top w:val="single" w:sz="8" w:color="CCCCFF"/>
            </w:tcBorders>
            <w:shd w:val="clear" w:color="auto" w:fill="CCCCFF"/>
          </w:tcPr>
          <w:p>
            <w:pPr>
              <w:spacing w:after="0"/>
              <w:rPr>
                <w:sz w:val="2"/>
                <w:szCs w:val="2"/>
                <w:color w:val="auto"/>
              </w:rPr>
            </w:pPr>
          </w:p>
        </w:tc>
        <w:tc>
          <w:tcPr>
            <w:tcW w:w="22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CCCCFF"/>
            </w:tcBorders>
            <w:shd w:val="clear" w:color="auto" w:fill="CCCCFF"/>
          </w:tcPr>
          <w:p>
            <w:pPr>
              <w:spacing w:after="0"/>
              <w:rPr>
                <w:sz w:val="2"/>
                <w:szCs w:val="2"/>
                <w:color w:val="auto"/>
              </w:rPr>
            </w:pPr>
          </w:p>
        </w:tc>
        <w:tc>
          <w:tcPr>
            <w:tcW w:w="3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0" w:type="dxa"/>
            <w:vAlign w:val="bottom"/>
            <w:tcBorders>
              <w:top w:val="single" w:sz="8" w:color="CCCCFF"/>
            </w:tcBorders>
            <w:shd w:val="clear" w:color="auto" w:fill="CCCCFF"/>
          </w:tcPr>
          <w:p>
            <w:pPr>
              <w:spacing w:after="0"/>
              <w:rPr>
                <w:sz w:val="2"/>
                <w:szCs w:val="2"/>
                <w:color w:val="auto"/>
              </w:rPr>
            </w:pPr>
          </w:p>
        </w:tc>
        <w:tc>
          <w:tcPr>
            <w:tcW w:w="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0000FF"/>
              <w:right w:val="single" w:sz="8" w:color="CCCC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12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60" w:type="dxa"/>
            <w:vAlign w:val="bottom"/>
            <w:tcBorders>
              <w:top w:val="single" w:sz="8" w:color="0000FF"/>
            </w:tcBorders>
            <w:shd w:val="clear" w:color="auto" w:fill="CCCCFF"/>
          </w:tcPr>
          <w:p>
            <w:pPr>
              <w:spacing w:after="0"/>
              <w:rPr>
                <w:sz w:val="2"/>
                <w:szCs w:val="2"/>
                <w:color w:val="auto"/>
              </w:rPr>
            </w:pPr>
          </w:p>
        </w:tc>
        <w:tc>
          <w:tcPr>
            <w:tcW w:w="14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9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920" w:type="dxa"/>
            <w:vAlign w:val="bottom"/>
            <w:tcBorders>
              <w:top w:val="single" w:sz="8" w:color="CCCCFF"/>
            </w:tcBorders>
            <w:shd w:val="clear" w:color="auto" w:fill="CCC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June 30,</w:t>
            </w:r>
          </w:p>
        </w:tc>
        <w:tc>
          <w:tcPr>
            <w:tcW w:w="500" w:type="dxa"/>
            <w:vAlign w:val="bottom"/>
            <w:gridSpan w:val="7"/>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5"/>
              </w:rPr>
              <w:t>2025</w:t>
            </w:r>
          </w:p>
        </w:tc>
        <w:tc>
          <w:tcPr>
            <w:tcW w:w="3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0000FF"/>
                <w:w w:val="81"/>
              </w:rPr>
              <w:t>2028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10"/>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5"/>
              </w:rPr>
              <w:t>8,125,000</w:t>
            </w:r>
          </w:p>
        </w:tc>
        <w:tc>
          <w:tcPr>
            <w:tcW w:w="1180" w:type="dxa"/>
            <w:vAlign w:val="bottom"/>
            <w:gridSpan w:val="7"/>
          </w:tcPr>
          <w:p>
            <w:pPr>
              <w:jc w:val="right"/>
              <w:ind w:right="320"/>
              <w:spacing w:after="0" w:line="243" w:lineRule="exact"/>
              <w:rPr>
                <w:sz w:val="20"/>
                <w:szCs w:val="20"/>
                <w:color w:val="auto"/>
              </w:rPr>
            </w:pPr>
            <w:r>
              <w:rPr>
                <w:rFonts w:ascii="Times New Roman" w:cs="Times New Roman" w:eastAsia="Times New Roman" w:hAnsi="Times New Roman"/>
                <w:sz w:val="22"/>
                <w:szCs w:val="22"/>
                <w:color w:val="0000FF"/>
                <w:w w:val="95"/>
              </w:rPr>
              <w:t>5,358,080</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 w:type="dxa"/>
            <w:vAlign w:val="bottom"/>
          </w:tcPr>
          <w:p>
            <w:pPr>
              <w:spacing w:after="0"/>
              <w:rPr>
                <w:sz w:val="24"/>
                <w:szCs w:val="24"/>
                <w:color w:val="auto"/>
              </w:rPr>
            </w:pPr>
          </w:p>
        </w:tc>
        <w:tc>
          <w:tcPr>
            <w:tcW w:w="8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rPr>
              <w:t>Sept. 30,</w:t>
            </w:r>
          </w:p>
        </w:tc>
        <w:tc>
          <w:tcPr>
            <w:tcW w:w="44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2027</w:t>
            </w:r>
          </w:p>
        </w:tc>
        <w:tc>
          <w:tcPr>
            <w:tcW w:w="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2028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6"/>
              </w:rPr>
              <w:t>$8,125,000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8"/>
            <w:vMerge w:val="restart"/>
          </w:tcPr>
          <w:p>
            <w:pPr>
              <w:spacing w:after="0"/>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820" w:type="dxa"/>
            <w:vAlign w:val="bottom"/>
            <w:gridSpan w:val="5"/>
            <w:vMerge w:val="continue"/>
          </w:tcPr>
          <w:p>
            <w:pPr>
              <w:spacing w:after="0"/>
              <w:rPr>
                <w:sz w:val="20"/>
                <w:szCs w:val="20"/>
                <w:color w:val="auto"/>
              </w:rPr>
            </w:pPr>
          </w:p>
        </w:tc>
        <w:tc>
          <w:tcPr>
            <w:tcW w:w="440" w:type="dxa"/>
            <w:vAlign w:val="bottom"/>
            <w:gridSpan w:val="5"/>
            <w:vMerge w:val="continue"/>
          </w:tcPr>
          <w:p>
            <w:pPr>
              <w:spacing w:after="0"/>
              <w:rPr>
                <w:sz w:val="20"/>
                <w:szCs w:val="20"/>
                <w:color w:val="auto"/>
              </w:rPr>
            </w:pPr>
          </w:p>
        </w:tc>
        <w:tc>
          <w:tcPr>
            <w:tcW w:w="42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440" w:type="dxa"/>
            <w:vAlign w:val="bottom"/>
            <w:gridSpan w:val="2"/>
          </w:tcPr>
          <w:p>
            <w:pPr>
              <w:spacing w:after="0"/>
              <w:rPr>
                <w:sz w:val="20"/>
                <w:szCs w:val="20"/>
                <w:color w:val="auto"/>
              </w:rPr>
            </w:pPr>
          </w:p>
        </w:tc>
        <w:tc>
          <w:tcPr>
            <w:tcW w:w="980" w:type="dxa"/>
            <w:vAlign w:val="bottom"/>
            <w:tcBorders>
              <w:bottom w:val="single" w:sz="8" w:color="0000FF"/>
            </w:tcBorders>
            <w:gridSpan w:val="8"/>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FF0000"/>
                <w:strike w:val="1"/>
                <w:w w:val="97"/>
              </w:rPr>
              <w:t>Sept</w:t>
            </w:r>
          </w:p>
        </w:tc>
        <w:tc>
          <w:tcPr>
            <w:tcW w:w="42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0000FF"/>
                <w:w w:val="97"/>
              </w:rPr>
              <w:t>Dec</w:t>
            </w:r>
            <w:r>
              <w:rPr>
                <w:rFonts w:ascii="Times New Roman" w:cs="Times New Roman" w:eastAsia="Times New Roman" w:hAnsi="Times New Roman"/>
                <w:sz w:val="22"/>
                <w:szCs w:val="22"/>
                <w:color w:val="000000"/>
                <w:w w:val="97"/>
              </w:rPr>
              <w:t>.</w:t>
            </w:r>
          </w:p>
        </w:tc>
        <w:tc>
          <w:tcPr>
            <w:tcW w:w="2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FF0000"/>
                <w:strike w:val="1"/>
                <w:w w:val="90"/>
              </w:rPr>
              <w:t>30</w:t>
            </w:r>
          </w:p>
        </w:tc>
        <w:tc>
          <w:tcPr>
            <w:tcW w:w="440" w:type="dxa"/>
            <w:vAlign w:val="bottom"/>
            <w:gridSpan w:val="3"/>
          </w:tcPr>
          <w:p>
            <w:pPr>
              <w:jc w:val="right"/>
              <w:ind w:right="72"/>
              <w:spacing w:after="0" w:line="243" w:lineRule="exact"/>
              <w:rPr>
                <w:sz w:val="20"/>
                <w:szCs w:val="20"/>
                <w:color w:val="auto"/>
              </w:rPr>
            </w:pPr>
            <w:r>
              <w:rPr>
                <w:rFonts w:ascii="Times New Roman" w:cs="Times New Roman" w:eastAsia="Times New Roman" w:hAnsi="Times New Roman"/>
                <w:sz w:val="22"/>
                <w:szCs w:val="22"/>
                <w:color w:val="0000FF"/>
                <w:w w:val="87"/>
              </w:rPr>
              <w:t>31</w:t>
            </w:r>
            <w:r>
              <w:rPr>
                <w:rFonts w:ascii="Times New Roman" w:cs="Times New Roman" w:eastAsia="Times New Roman" w:hAnsi="Times New Roman"/>
                <w:sz w:val="22"/>
                <w:szCs w:val="22"/>
                <w:color w:val="000000"/>
                <w:w w:val="87"/>
              </w:rPr>
              <w:t>,</w:t>
            </w:r>
          </w:p>
        </w:tc>
        <w:tc>
          <w:tcPr>
            <w:tcW w:w="1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3"/>
            <w:shd w:val="clear" w:color="auto" w:fill="FECAF4"/>
          </w:tcPr>
          <w:p>
            <w:pPr>
              <w:spacing w:after="0"/>
              <w:rPr>
                <w:sz w:val="21"/>
                <w:szCs w:val="21"/>
                <w:color w:val="auto"/>
              </w:rPr>
            </w:pPr>
          </w:p>
        </w:tc>
        <w:tc>
          <w:tcPr>
            <w:tcW w:w="980" w:type="dxa"/>
            <w:vAlign w:val="bottom"/>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shd w:val="clear" w:color="auto" w:fill="FECAF4"/>
          </w:tcPr>
          <w:p>
            <w:pPr>
              <w:spacing w:after="0"/>
              <w:rPr>
                <w:sz w:val="21"/>
                <w:szCs w:val="21"/>
                <w:color w:val="auto"/>
              </w:rPr>
            </w:pPr>
          </w:p>
        </w:tc>
        <w:tc>
          <w:tcPr>
            <w:tcW w:w="280" w:type="dxa"/>
            <w:vAlign w:val="bottom"/>
            <w:shd w:val="clear" w:color="auto" w:fill="FECAF4"/>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5"/>
          </w:tcPr>
          <w:p>
            <w:pPr>
              <w:jc w:val="center"/>
              <w:ind w:left="112"/>
              <w:spacing w:after="0" w:line="243" w:lineRule="exact"/>
              <w:rPr>
                <w:sz w:val="20"/>
                <w:szCs w:val="20"/>
                <w:color w:val="auto"/>
              </w:rPr>
            </w:pPr>
            <w:r>
              <w:rPr>
                <w:rFonts w:ascii="Times New Roman" w:cs="Times New Roman" w:eastAsia="Times New Roman" w:hAnsi="Times New Roman"/>
                <w:sz w:val="22"/>
                <w:szCs w:val="22"/>
                <w:color w:val="FF0000"/>
                <w:strike w:val="1"/>
                <w:w w:val="97"/>
              </w:rPr>
              <w:t>Dec. 31, 2027</w:t>
            </w:r>
          </w:p>
        </w:tc>
        <w:tc>
          <w:tcPr>
            <w:tcW w:w="148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5,358,080</w:t>
            </w:r>
          </w:p>
        </w:tc>
        <w:tc>
          <w:tcPr>
            <w:tcW w:w="140" w:type="dxa"/>
            <w:vAlign w:val="bottom"/>
          </w:tcPr>
          <w:p>
            <w:pPr>
              <w:spacing w:after="0"/>
              <w:rPr>
                <w:sz w:val="21"/>
                <w:szCs w:val="21"/>
                <w:color w:val="auto"/>
              </w:rPr>
            </w:pPr>
          </w:p>
        </w:tc>
        <w:tc>
          <w:tcPr>
            <w:tcW w:w="900" w:type="dxa"/>
            <w:vAlign w:val="bottom"/>
            <w:gridSpan w:val="4"/>
            <w:shd w:val="clear" w:color="auto" w:fill="FECAF4"/>
          </w:tcPr>
          <w:p>
            <w:pPr>
              <w:spacing w:after="0"/>
              <w:rPr>
                <w:sz w:val="21"/>
                <w:szCs w:val="21"/>
                <w:color w:val="auto"/>
              </w:rPr>
            </w:pPr>
          </w:p>
        </w:tc>
        <w:tc>
          <w:tcPr>
            <w:tcW w:w="980" w:type="dxa"/>
            <w:vAlign w:val="bottom"/>
            <w:gridSpan w:val="2"/>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6"/>
              </w:rPr>
              <w:t>$8,125,000</w:t>
            </w:r>
          </w:p>
        </w:tc>
        <w:tc>
          <w:tcPr>
            <w:tcW w:w="920" w:type="dxa"/>
            <w:vAlign w:val="bottom"/>
            <w:shd w:val="clear" w:color="auto" w:fill="FECA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42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980" w:type="dxa"/>
            <w:vAlign w:val="bottom"/>
            <w:shd w:val="clear" w:color="auto" w:fill="FECAF4"/>
          </w:tcPr>
          <w:p>
            <w:pPr>
              <w:spacing w:after="0" w:line="20" w:lineRule="exact"/>
              <w:rPr>
                <w:sz w:val="1"/>
                <w:szCs w:val="1"/>
                <w:color w:val="auto"/>
              </w:rPr>
            </w:pPr>
          </w:p>
        </w:tc>
        <w:tc>
          <w:tcPr>
            <w:tcW w:w="580" w:type="dxa"/>
            <w:vAlign w:val="bottom"/>
            <w:shd w:val="clear" w:color="auto" w:fill="FECAF4"/>
          </w:tcPr>
          <w:p>
            <w:pPr>
              <w:spacing w:after="0" w:line="20" w:lineRule="exact"/>
              <w:rPr>
                <w:sz w:val="1"/>
                <w:szCs w:val="1"/>
                <w:color w:val="auto"/>
              </w:rPr>
            </w:pPr>
          </w:p>
        </w:tc>
        <w:tc>
          <w:tcPr>
            <w:tcW w:w="280" w:type="dxa"/>
            <w:vAlign w:val="bottom"/>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160" w:type="dxa"/>
            <w:vAlign w:val="bottom"/>
            <w:shd w:val="clear" w:color="auto" w:fill="FECAF4"/>
          </w:tcPr>
          <w:p>
            <w:pPr>
              <w:spacing w:after="0" w:line="20" w:lineRule="exact"/>
              <w:rPr>
                <w:sz w:val="1"/>
                <w:szCs w:val="1"/>
                <w:color w:val="auto"/>
              </w:rPr>
            </w:pPr>
          </w:p>
        </w:tc>
        <w:tc>
          <w:tcPr>
            <w:tcW w:w="260" w:type="dxa"/>
            <w:vAlign w:val="bottom"/>
            <w:shd w:val="clear" w:color="auto" w:fill="FECAF4"/>
          </w:tcPr>
          <w:p>
            <w:pPr>
              <w:spacing w:after="0" w:line="20" w:lineRule="exact"/>
              <w:rPr>
                <w:sz w:val="1"/>
                <w:szCs w:val="1"/>
                <w:color w:val="auto"/>
              </w:rPr>
            </w:pPr>
          </w:p>
        </w:tc>
        <w:tc>
          <w:tcPr>
            <w:tcW w:w="320" w:type="dxa"/>
            <w:vAlign w:val="bottom"/>
            <w:shd w:val="clear" w:color="auto" w:fill="FECAF4"/>
          </w:tcPr>
          <w:p>
            <w:pPr>
              <w:spacing w:after="0" w:line="20" w:lineRule="exact"/>
              <w:rPr>
                <w:sz w:val="1"/>
                <w:szCs w:val="1"/>
                <w:color w:val="auto"/>
              </w:rPr>
            </w:pPr>
          </w:p>
        </w:tc>
        <w:tc>
          <w:tcPr>
            <w:tcW w:w="940" w:type="dxa"/>
            <w:vAlign w:val="bottom"/>
            <w:shd w:val="clear" w:color="auto" w:fill="FECAF4"/>
          </w:tcPr>
          <w:p>
            <w:pPr>
              <w:spacing w:after="0" w:line="20" w:lineRule="exact"/>
              <w:rPr>
                <w:sz w:val="1"/>
                <w:szCs w:val="1"/>
                <w:color w:val="auto"/>
              </w:rPr>
            </w:pPr>
          </w:p>
        </w:tc>
        <w:tc>
          <w:tcPr>
            <w:tcW w:w="40" w:type="dxa"/>
            <w:vAlign w:val="bottom"/>
            <w:shd w:val="clear" w:color="auto" w:fill="FECAF4"/>
          </w:tcPr>
          <w:p>
            <w:pPr>
              <w:spacing w:after="0" w:line="20" w:lineRule="exact"/>
              <w:rPr>
                <w:sz w:val="1"/>
                <w:szCs w:val="1"/>
                <w:color w:val="auto"/>
              </w:rPr>
            </w:pPr>
          </w:p>
        </w:tc>
        <w:tc>
          <w:tcPr>
            <w:tcW w:w="920" w:type="dxa"/>
            <w:vAlign w:val="bottom"/>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 w:type="dxa"/>
            <w:vAlign w:val="bottom"/>
          </w:tcPr>
          <w:p>
            <w:pPr>
              <w:spacing w:after="0"/>
              <w:rPr>
                <w:sz w:val="24"/>
                <w:szCs w:val="24"/>
                <w:color w:val="auto"/>
              </w:rPr>
            </w:pPr>
          </w:p>
        </w:tc>
        <w:tc>
          <w:tcPr>
            <w:tcW w:w="4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86"/>
              </w:rPr>
              <w:t>2025</w:t>
            </w:r>
          </w:p>
        </w:tc>
        <w:tc>
          <w:tcPr>
            <w:tcW w:w="4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5"/>
              </w:rPr>
              <w:t>2028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FECAF4"/>
            </w:tcBorders>
            <w:shd w:val="clear" w:color="auto" w:fill="FECAF4"/>
          </w:tcPr>
          <w:p>
            <w:pPr>
              <w:spacing w:after="0"/>
              <w:rPr>
                <w:sz w:val="24"/>
                <w:szCs w:val="24"/>
                <w:color w:val="auto"/>
              </w:rPr>
            </w:pPr>
          </w:p>
        </w:tc>
        <w:tc>
          <w:tcPr>
            <w:tcW w:w="420" w:type="dxa"/>
            <w:vAlign w:val="bottom"/>
            <w:tcBorders>
              <w:bottom w:val="single" w:sz="8" w:color="FECAF4"/>
            </w:tcBorders>
            <w:shd w:val="clear" w:color="auto" w:fill="FECAF4"/>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980" w:type="dxa"/>
            <w:vAlign w:val="bottom"/>
            <w:tcBorders>
              <w:bottom w:val="single" w:sz="8" w:color="FECAF4"/>
            </w:tcBorders>
            <w:shd w:val="clear" w:color="auto" w:fill="FECAF4"/>
          </w:tcPr>
          <w:p>
            <w:pPr>
              <w:spacing w:after="0"/>
              <w:rPr>
                <w:sz w:val="24"/>
                <w:szCs w:val="24"/>
                <w:color w:val="auto"/>
              </w:rPr>
            </w:pPr>
          </w:p>
        </w:tc>
        <w:tc>
          <w:tcPr>
            <w:tcW w:w="580" w:type="dxa"/>
            <w:vAlign w:val="bottom"/>
            <w:tcBorders>
              <w:bottom w:val="single" w:sz="8" w:color="FECAF4"/>
            </w:tcBorders>
            <w:shd w:val="clear" w:color="auto" w:fill="FECAF4"/>
          </w:tcPr>
          <w:p>
            <w:pPr>
              <w:spacing w:after="0"/>
              <w:rPr>
                <w:sz w:val="24"/>
                <w:szCs w:val="24"/>
                <w:color w:val="auto"/>
              </w:rPr>
            </w:pPr>
          </w:p>
        </w:tc>
        <w:tc>
          <w:tcPr>
            <w:tcW w:w="280" w:type="dxa"/>
            <w:vAlign w:val="bottom"/>
            <w:tcBorders>
              <w:bottom w:val="single" w:sz="8" w:color="FECAF4"/>
            </w:tcBorders>
            <w:shd w:val="clear" w:color="auto" w:fill="FECAF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160" w:type="dxa"/>
            <w:vAlign w:val="bottom"/>
            <w:tcBorders>
              <w:bottom w:val="single" w:sz="8" w:color="FECAF4"/>
            </w:tcBorders>
            <w:shd w:val="clear" w:color="auto" w:fill="FECAF4"/>
          </w:tcPr>
          <w:p>
            <w:pPr>
              <w:spacing w:after="0"/>
              <w:rPr>
                <w:sz w:val="24"/>
                <w:szCs w:val="24"/>
                <w:color w:val="auto"/>
              </w:rPr>
            </w:pPr>
          </w:p>
        </w:tc>
        <w:tc>
          <w:tcPr>
            <w:tcW w:w="260" w:type="dxa"/>
            <w:vAlign w:val="bottom"/>
            <w:tcBorders>
              <w:bottom w:val="single" w:sz="8" w:color="FECAF4"/>
            </w:tcBorders>
            <w:shd w:val="clear" w:color="auto" w:fill="FECAF4"/>
          </w:tcPr>
          <w:p>
            <w:pPr>
              <w:spacing w:after="0"/>
              <w:rPr>
                <w:sz w:val="24"/>
                <w:szCs w:val="24"/>
                <w:color w:val="auto"/>
              </w:rPr>
            </w:pPr>
          </w:p>
        </w:tc>
        <w:tc>
          <w:tcPr>
            <w:tcW w:w="320" w:type="dxa"/>
            <w:vAlign w:val="bottom"/>
            <w:tcBorders>
              <w:bottom w:val="single" w:sz="8" w:color="FECAF4"/>
            </w:tcBorders>
            <w:shd w:val="clear" w:color="auto" w:fill="FECAF4"/>
          </w:tcPr>
          <w:p>
            <w:pPr>
              <w:spacing w:after="0"/>
              <w:rPr>
                <w:sz w:val="24"/>
                <w:szCs w:val="24"/>
                <w:color w:val="auto"/>
              </w:rPr>
            </w:pPr>
          </w:p>
        </w:tc>
        <w:tc>
          <w:tcPr>
            <w:tcW w:w="940" w:type="dxa"/>
            <w:vAlign w:val="bottom"/>
            <w:tcBorders>
              <w:bottom w:val="single" w:sz="8" w:color="FECAF4"/>
            </w:tcBorders>
            <w:shd w:val="clear" w:color="auto" w:fill="FECAF4"/>
          </w:tcPr>
          <w:p>
            <w:pPr>
              <w:spacing w:after="0"/>
              <w:rPr>
                <w:sz w:val="24"/>
                <w:szCs w:val="24"/>
                <w:color w:val="auto"/>
              </w:rPr>
            </w:pPr>
          </w:p>
        </w:tc>
        <w:tc>
          <w:tcPr>
            <w:tcW w:w="40" w:type="dxa"/>
            <w:vAlign w:val="bottom"/>
            <w:tcBorders>
              <w:bottom w:val="single" w:sz="8" w:color="FECAF4"/>
            </w:tcBorders>
            <w:shd w:val="clear" w:color="auto" w:fill="FECAF4"/>
          </w:tcPr>
          <w:p>
            <w:pPr>
              <w:spacing w:after="0"/>
              <w:rPr>
                <w:sz w:val="24"/>
                <w:szCs w:val="24"/>
                <w:color w:val="auto"/>
              </w:rPr>
            </w:pPr>
          </w:p>
        </w:tc>
        <w:tc>
          <w:tcPr>
            <w:tcW w:w="920" w:type="dxa"/>
            <w:vAlign w:val="bottom"/>
            <w:tcBorders>
              <w:bottom w:val="single" w:sz="8" w:color="FECAF4"/>
            </w:tcBorders>
            <w:shd w:val="clear" w:color="auto" w:fill="FECAF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CCFF"/>
          </w:tcPr>
          <w:p>
            <w:pPr>
              <w:spacing w:after="0"/>
              <w:rPr>
                <w:sz w:val="18"/>
                <w:szCs w:val="18"/>
                <w:color w:val="auto"/>
              </w:rPr>
            </w:pPr>
          </w:p>
        </w:tc>
        <w:tc>
          <w:tcPr>
            <w:tcW w:w="1920" w:type="dxa"/>
            <w:vAlign w:val="bottom"/>
            <w:gridSpan w:val="16"/>
            <w:shd w:val="clear" w:color="auto" w:fill="CCCCFF"/>
          </w:tcPr>
          <w:p>
            <w:pPr>
              <w:spacing w:after="0" w:line="216" w:lineRule="exact"/>
              <w:rPr>
                <w:sz w:val="20"/>
                <w:szCs w:val="20"/>
                <w:color w:val="auto"/>
              </w:rPr>
            </w:pPr>
            <w:r>
              <w:rPr>
                <w:rFonts w:ascii="Times New Roman" w:cs="Times New Roman" w:eastAsia="Times New Roman" w:hAnsi="Times New Roman"/>
                <w:sz w:val="22"/>
                <w:szCs w:val="22"/>
                <w:color w:val="0000FF"/>
              </w:rPr>
              <w:t>March 31, 2029</w:t>
            </w:r>
          </w:p>
        </w:tc>
        <w:tc>
          <w:tcPr>
            <w:tcW w:w="2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20" w:type="dxa"/>
            <w:vAlign w:val="bottom"/>
            <w:shd w:val="clear" w:color="auto" w:fill="CCCCFF"/>
          </w:tcPr>
          <w:p>
            <w:pPr>
              <w:spacing w:after="0"/>
              <w:rPr>
                <w:sz w:val="18"/>
                <w:szCs w:val="18"/>
                <w:color w:val="auto"/>
              </w:rPr>
            </w:pPr>
          </w:p>
        </w:tc>
        <w:tc>
          <w:tcPr>
            <w:tcW w:w="160" w:type="dxa"/>
            <w:vAlign w:val="bottom"/>
            <w:shd w:val="clear" w:color="auto" w:fill="CCCCFF"/>
          </w:tcPr>
          <w:p>
            <w:pPr>
              <w:spacing w:after="0"/>
              <w:rPr>
                <w:sz w:val="18"/>
                <w:szCs w:val="18"/>
                <w:color w:val="auto"/>
              </w:rPr>
            </w:pPr>
          </w:p>
        </w:tc>
        <w:tc>
          <w:tcPr>
            <w:tcW w:w="980" w:type="dxa"/>
            <w:vAlign w:val="bottom"/>
            <w:shd w:val="clear" w:color="auto" w:fill="CCCCFF"/>
          </w:tcPr>
          <w:p>
            <w:pPr>
              <w:spacing w:after="0"/>
              <w:rPr>
                <w:sz w:val="18"/>
                <w:szCs w:val="18"/>
                <w:color w:val="auto"/>
              </w:rPr>
            </w:pPr>
          </w:p>
        </w:tc>
        <w:tc>
          <w:tcPr>
            <w:tcW w:w="5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3460" w:type="dxa"/>
            <w:vAlign w:val="bottom"/>
            <w:gridSpan w:val="18"/>
            <w:shd w:val="clear" w:color="auto" w:fill="CCCCFF"/>
          </w:tcPr>
          <w:p>
            <w:pPr>
              <w:ind w:left="2640"/>
              <w:spacing w:after="0" w:line="216" w:lineRule="exact"/>
              <w:rPr>
                <w:sz w:val="20"/>
                <w:szCs w:val="20"/>
                <w:color w:val="auto"/>
              </w:rPr>
            </w:pPr>
            <w:r>
              <w:rPr>
                <w:rFonts w:ascii="Times New Roman" w:cs="Times New Roman" w:eastAsia="Times New Roman" w:hAnsi="Times New Roman"/>
                <w:sz w:val="22"/>
                <w:szCs w:val="22"/>
                <w:u w:val="single" w:color="auto"/>
                <w:color w:val="0000FF"/>
                <w:w w:val="80"/>
              </w:rPr>
              <w:t>$</w:t>
            </w:r>
            <w:r>
              <w:rPr>
                <w:rFonts w:ascii="Times New Roman" w:cs="Times New Roman" w:eastAsia="Times New Roman" w:hAnsi="Times New Roman"/>
                <w:sz w:val="22"/>
                <w:szCs w:val="22"/>
                <w:color w:val="0000FF"/>
                <w:w w:val="80"/>
              </w:rPr>
              <w:t>5,358,080</w:t>
            </w:r>
          </w:p>
        </w:tc>
        <w:tc>
          <w:tcPr>
            <w:tcW w:w="160" w:type="dxa"/>
            <w:vAlign w:val="bottom"/>
            <w:shd w:val="clear" w:color="auto" w:fill="CCCCFF"/>
          </w:tcPr>
          <w:p>
            <w:pPr>
              <w:spacing w:after="0"/>
              <w:rPr>
                <w:sz w:val="18"/>
                <w:szCs w:val="18"/>
                <w:color w:val="auto"/>
              </w:rPr>
            </w:pPr>
          </w:p>
        </w:tc>
        <w:tc>
          <w:tcPr>
            <w:tcW w:w="160" w:type="dxa"/>
            <w:vAlign w:val="bottom"/>
            <w:shd w:val="clear" w:color="auto" w:fill="CCCCFF"/>
          </w:tcPr>
          <w:p>
            <w:pPr>
              <w:spacing w:after="0"/>
              <w:rPr>
                <w:sz w:val="18"/>
                <w:szCs w:val="18"/>
                <w:color w:val="auto"/>
              </w:rPr>
            </w:pPr>
          </w:p>
        </w:tc>
        <w:tc>
          <w:tcPr>
            <w:tcW w:w="260" w:type="dxa"/>
            <w:vAlign w:val="bottom"/>
            <w:shd w:val="clear" w:color="auto" w:fill="CCCCFF"/>
          </w:tcPr>
          <w:p>
            <w:pPr>
              <w:spacing w:after="0"/>
              <w:rPr>
                <w:sz w:val="18"/>
                <w:szCs w:val="18"/>
                <w:color w:val="auto"/>
              </w:rPr>
            </w:pPr>
          </w:p>
        </w:tc>
        <w:tc>
          <w:tcPr>
            <w:tcW w:w="320" w:type="dxa"/>
            <w:vAlign w:val="bottom"/>
            <w:shd w:val="clear" w:color="auto" w:fill="CCCCFF"/>
          </w:tcPr>
          <w:p>
            <w:pPr>
              <w:spacing w:after="0"/>
              <w:rPr>
                <w:sz w:val="18"/>
                <w:szCs w:val="18"/>
                <w:color w:val="auto"/>
              </w:rPr>
            </w:pPr>
          </w:p>
        </w:tc>
        <w:tc>
          <w:tcPr>
            <w:tcW w:w="9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920" w:type="dxa"/>
            <w:vAlign w:val="bottom"/>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CCCCFF"/>
            </w:tcBorders>
            <w:shd w:val="clear" w:color="auto" w:fill="CCCCFF"/>
          </w:tcPr>
          <w:p>
            <w:pPr>
              <w:spacing w:after="0"/>
              <w:rPr>
                <w:sz w:val="21"/>
                <w:szCs w:val="21"/>
                <w:color w:val="auto"/>
              </w:rPr>
            </w:pPr>
          </w:p>
        </w:tc>
        <w:tc>
          <w:tcPr>
            <w:tcW w:w="1360" w:type="dxa"/>
            <w:vAlign w:val="bottom"/>
            <w:tcBorders>
              <w:top w:val="single" w:sz="8" w:color="0000FF"/>
            </w:tcBorders>
            <w:gridSpan w:val="11"/>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rPr>
              <w:t>June 30, 2029</w:t>
            </w:r>
          </w:p>
        </w:tc>
        <w:tc>
          <w:tcPr>
            <w:tcW w:w="560" w:type="dxa"/>
            <w:vAlign w:val="bottom"/>
            <w:tcBorders>
              <w:top w:val="single" w:sz="8" w:color="CCCCFF"/>
            </w:tcBorders>
            <w:gridSpan w:val="5"/>
            <w:shd w:val="clear" w:color="auto" w:fill="CCCCFF"/>
          </w:tcPr>
          <w:p>
            <w:pPr>
              <w:spacing w:after="0"/>
              <w:rPr>
                <w:sz w:val="21"/>
                <w:szCs w:val="21"/>
                <w:color w:val="auto"/>
              </w:rPr>
            </w:pPr>
          </w:p>
        </w:tc>
        <w:tc>
          <w:tcPr>
            <w:tcW w:w="280" w:type="dxa"/>
            <w:vAlign w:val="bottom"/>
            <w:tcBorders>
              <w:top w:val="single" w:sz="8" w:color="CCCCFF"/>
            </w:tcBorders>
            <w:shd w:val="clear" w:color="auto" w:fill="CCCCFF"/>
          </w:tcPr>
          <w:p>
            <w:pPr>
              <w:spacing w:after="0"/>
              <w:rPr>
                <w:sz w:val="21"/>
                <w:szCs w:val="21"/>
                <w:color w:val="auto"/>
              </w:rPr>
            </w:pPr>
          </w:p>
        </w:tc>
        <w:tc>
          <w:tcPr>
            <w:tcW w:w="280" w:type="dxa"/>
            <w:vAlign w:val="bottom"/>
            <w:tcBorders>
              <w:top w:val="single" w:sz="8" w:color="CCCCFF"/>
            </w:tcBorders>
            <w:shd w:val="clear" w:color="auto" w:fill="CCCCFF"/>
          </w:tcPr>
          <w:p>
            <w:pPr>
              <w:spacing w:after="0"/>
              <w:rPr>
                <w:sz w:val="21"/>
                <w:szCs w:val="21"/>
                <w:color w:val="auto"/>
              </w:rPr>
            </w:pPr>
          </w:p>
        </w:tc>
        <w:tc>
          <w:tcPr>
            <w:tcW w:w="420" w:type="dxa"/>
            <w:vAlign w:val="bottom"/>
            <w:tcBorders>
              <w:top w:val="single" w:sz="8" w:color="CCCCFF"/>
            </w:tcBorders>
            <w:shd w:val="clear" w:color="auto" w:fill="CCCCFF"/>
          </w:tcPr>
          <w:p>
            <w:pPr>
              <w:spacing w:after="0"/>
              <w:rPr>
                <w:sz w:val="21"/>
                <w:szCs w:val="21"/>
                <w:color w:val="auto"/>
              </w:rPr>
            </w:pPr>
          </w:p>
        </w:tc>
        <w:tc>
          <w:tcPr>
            <w:tcW w:w="160" w:type="dxa"/>
            <w:vAlign w:val="bottom"/>
            <w:tcBorders>
              <w:top w:val="single" w:sz="8" w:color="CCCCFF"/>
            </w:tcBorders>
            <w:shd w:val="clear" w:color="auto" w:fill="CCCCFF"/>
          </w:tcPr>
          <w:p>
            <w:pPr>
              <w:spacing w:after="0"/>
              <w:rPr>
                <w:sz w:val="21"/>
                <w:szCs w:val="21"/>
                <w:color w:val="auto"/>
              </w:rPr>
            </w:pPr>
          </w:p>
        </w:tc>
        <w:tc>
          <w:tcPr>
            <w:tcW w:w="980" w:type="dxa"/>
            <w:vAlign w:val="bottom"/>
            <w:tcBorders>
              <w:top w:val="single" w:sz="8" w:color="CCCCFF"/>
            </w:tcBorders>
            <w:shd w:val="clear" w:color="auto" w:fill="CCCCFF"/>
          </w:tcPr>
          <w:p>
            <w:pPr>
              <w:spacing w:after="0"/>
              <w:rPr>
                <w:sz w:val="21"/>
                <w:szCs w:val="21"/>
                <w:color w:val="auto"/>
              </w:rPr>
            </w:pPr>
          </w:p>
        </w:tc>
        <w:tc>
          <w:tcPr>
            <w:tcW w:w="580" w:type="dxa"/>
            <w:vAlign w:val="bottom"/>
            <w:tcBorders>
              <w:top w:val="single" w:sz="8" w:color="CCCCFF"/>
            </w:tcBorders>
            <w:shd w:val="clear" w:color="auto" w:fill="CCCCFF"/>
          </w:tcPr>
          <w:p>
            <w:pPr>
              <w:spacing w:after="0"/>
              <w:rPr>
                <w:sz w:val="21"/>
                <w:szCs w:val="21"/>
                <w:color w:val="auto"/>
              </w:rPr>
            </w:pPr>
          </w:p>
        </w:tc>
        <w:tc>
          <w:tcPr>
            <w:tcW w:w="280" w:type="dxa"/>
            <w:vAlign w:val="bottom"/>
            <w:tcBorders>
              <w:top w:val="single" w:sz="8" w:color="CCCCFF"/>
            </w:tcBorders>
            <w:shd w:val="clear" w:color="auto" w:fill="CCCCFF"/>
          </w:tcPr>
          <w:p>
            <w:pPr>
              <w:spacing w:after="0"/>
              <w:rPr>
                <w:sz w:val="21"/>
                <w:szCs w:val="21"/>
                <w:color w:val="auto"/>
              </w:rPr>
            </w:pPr>
          </w:p>
        </w:tc>
        <w:tc>
          <w:tcPr>
            <w:tcW w:w="2640" w:type="dxa"/>
            <w:vAlign w:val="bottom"/>
            <w:tcBorders>
              <w:top w:val="single" w:sz="8" w:color="CCCCFF"/>
            </w:tcBorders>
            <w:gridSpan w:val="11"/>
            <w:shd w:val="clear" w:color="auto" w:fill="CCCCFF"/>
          </w:tcPr>
          <w:p>
            <w:pPr>
              <w:spacing w:after="0"/>
              <w:rPr>
                <w:sz w:val="21"/>
                <w:szCs w:val="21"/>
                <w:color w:val="auto"/>
              </w:rPr>
            </w:pPr>
          </w:p>
        </w:tc>
        <w:tc>
          <w:tcPr>
            <w:tcW w:w="980" w:type="dxa"/>
            <w:vAlign w:val="bottom"/>
            <w:tcBorders>
              <w:top w:val="single" w:sz="8" w:color="0000FF"/>
            </w:tcBorders>
            <w:gridSpan w:val="8"/>
            <w:shd w:val="clear" w:color="auto" w:fill="CCCCFF"/>
          </w:tcPr>
          <w:p>
            <w:pPr>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160" w:type="dxa"/>
            <w:vAlign w:val="bottom"/>
            <w:tcBorders>
              <w:top w:val="single" w:sz="8" w:color="CCCCFF"/>
            </w:tcBorders>
            <w:shd w:val="clear" w:color="auto" w:fill="CCCCFF"/>
          </w:tcPr>
          <w:p>
            <w:pPr>
              <w:spacing w:after="0"/>
              <w:rPr>
                <w:sz w:val="21"/>
                <w:szCs w:val="21"/>
                <w:color w:val="auto"/>
              </w:rPr>
            </w:pPr>
          </w:p>
        </w:tc>
        <w:tc>
          <w:tcPr>
            <w:tcW w:w="260" w:type="dxa"/>
            <w:vAlign w:val="bottom"/>
            <w:tcBorders>
              <w:top w:val="single" w:sz="8" w:color="CCCCFF"/>
            </w:tcBorders>
            <w:shd w:val="clear" w:color="auto" w:fill="CCCCFF"/>
          </w:tcPr>
          <w:p>
            <w:pPr>
              <w:spacing w:after="0"/>
              <w:rPr>
                <w:sz w:val="21"/>
                <w:szCs w:val="21"/>
                <w:color w:val="auto"/>
              </w:rPr>
            </w:pPr>
          </w:p>
        </w:tc>
        <w:tc>
          <w:tcPr>
            <w:tcW w:w="320" w:type="dxa"/>
            <w:vAlign w:val="bottom"/>
            <w:tcBorders>
              <w:top w:val="single" w:sz="8" w:color="CCCCFF"/>
            </w:tcBorders>
            <w:shd w:val="clear" w:color="auto" w:fill="CCCCFF"/>
          </w:tcPr>
          <w:p>
            <w:pPr>
              <w:spacing w:after="0"/>
              <w:rPr>
                <w:sz w:val="21"/>
                <w:szCs w:val="21"/>
                <w:color w:val="auto"/>
              </w:rPr>
            </w:pPr>
          </w:p>
        </w:tc>
        <w:tc>
          <w:tcPr>
            <w:tcW w:w="940" w:type="dxa"/>
            <w:vAlign w:val="bottom"/>
            <w:tcBorders>
              <w:top w:val="single" w:sz="8" w:color="CCCCFF"/>
            </w:tcBorders>
            <w:shd w:val="clear" w:color="auto" w:fill="CCCCFF"/>
          </w:tcPr>
          <w:p>
            <w:pPr>
              <w:spacing w:after="0"/>
              <w:rPr>
                <w:sz w:val="21"/>
                <w:szCs w:val="21"/>
                <w:color w:val="auto"/>
              </w:rPr>
            </w:pPr>
          </w:p>
        </w:tc>
        <w:tc>
          <w:tcPr>
            <w:tcW w:w="40" w:type="dxa"/>
            <w:vAlign w:val="bottom"/>
            <w:tcBorders>
              <w:top w:val="single" w:sz="8" w:color="CCCCFF"/>
            </w:tcBorders>
            <w:shd w:val="clear" w:color="auto" w:fill="CCCCFF"/>
          </w:tcPr>
          <w:p>
            <w:pPr>
              <w:spacing w:after="0"/>
              <w:rPr>
                <w:sz w:val="21"/>
                <w:szCs w:val="21"/>
                <w:color w:val="auto"/>
              </w:rPr>
            </w:pPr>
          </w:p>
        </w:tc>
        <w:tc>
          <w:tcPr>
            <w:tcW w:w="920" w:type="dxa"/>
            <w:vAlign w:val="bottom"/>
            <w:tcBorders>
              <w:top w:val="single" w:sz="8" w:color="CCCCFF"/>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CC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CCCCFF"/>
            </w:tcBorders>
            <w:gridSpan w:val="2"/>
            <w:shd w:val="clear" w:color="auto" w:fill="0000FF"/>
          </w:tcPr>
          <w:p>
            <w:pPr>
              <w:spacing w:after="0" w:line="20" w:lineRule="exact"/>
              <w:rPr>
                <w:sz w:val="1"/>
                <w:szCs w:val="1"/>
                <w:color w:val="auto"/>
              </w:rPr>
            </w:pPr>
          </w:p>
        </w:tc>
        <w:tc>
          <w:tcPr>
            <w:tcW w:w="240" w:type="dxa"/>
            <w:vAlign w:val="bottom"/>
            <w:tcBorders>
              <w:left w:val="single" w:sz="8" w:color="CCCCFF"/>
            </w:tcBorders>
            <w:gridSpan w:val="2"/>
            <w:shd w:val="clear" w:color="auto" w:fill="CCCCFF"/>
          </w:tcPr>
          <w:p>
            <w:pPr>
              <w:spacing w:after="0" w:line="20" w:lineRule="exact"/>
              <w:rPr>
                <w:sz w:val="1"/>
                <w:szCs w:val="1"/>
                <w:color w:val="auto"/>
              </w:rPr>
            </w:pPr>
          </w:p>
        </w:tc>
        <w:tc>
          <w:tcPr>
            <w:tcW w:w="140" w:type="dxa"/>
            <w:vAlign w:val="bottom"/>
            <w:shd w:val="clear" w:color="auto" w:fill="CCCCFF"/>
          </w:tcPr>
          <w:p>
            <w:pPr>
              <w:spacing w:after="0" w:line="20" w:lineRule="exact"/>
              <w:rPr>
                <w:sz w:val="1"/>
                <w:szCs w:val="1"/>
                <w:color w:val="auto"/>
              </w:rPr>
            </w:pPr>
          </w:p>
        </w:tc>
        <w:tc>
          <w:tcPr>
            <w:tcW w:w="160" w:type="dxa"/>
            <w:vAlign w:val="bottom"/>
            <w:gridSpan w:val="2"/>
            <w:shd w:val="clear" w:color="auto" w:fill="CCCC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280" w:type="dxa"/>
            <w:vAlign w:val="bottom"/>
            <w:shd w:val="clear" w:color="auto" w:fill="CCCCFF"/>
          </w:tcPr>
          <w:p>
            <w:pPr>
              <w:spacing w:after="0" w:line="20" w:lineRule="exact"/>
              <w:rPr>
                <w:sz w:val="1"/>
                <w:szCs w:val="1"/>
                <w:color w:val="auto"/>
              </w:rPr>
            </w:pPr>
          </w:p>
        </w:tc>
        <w:tc>
          <w:tcPr>
            <w:tcW w:w="280" w:type="dxa"/>
            <w:vAlign w:val="bottom"/>
            <w:shd w:val="clear" w:color="auto" w:fill="CCCCFF"/>
          </w:tcPr>
          <w:p>
            <w:pPr>
              <w:spacing w:after="0" w:line="20" w:lineRule="exact"/>
              <w:rPr>
                <w:sz w:val="1"/>
                <w:szCs w:val="1"/>
                <w:color w:val="auto"/>
              </w:rPr>
            </w:pPr>
          </w:p>
        </w:tc>
        <w:tc>
          <w:tcPr>
            <w:tcW w:w="420" w:type="dxa"/>
            <w:vAlign w:val="bottom"/>
            <w:shd w:val="clear" w:color="auto" w:fill="CCCC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980" w:type="dxa"/>
            <w:vAlign w:val="bottom"/>
            <w:shd w:val="clear" w:color="auto" w:fill="CCCCFF"/>
          </w:tcPr>
          <w:p>
            <w:pPr>
              <w:spacing w:after="0" w:line="20" w:lineRule="exact"/>
              <w:rPr>
                <w:sz w:val="1"/>
                <w:szCs w:val="1"/>
                <w:color w:val="auto"/>
              </w:rPr>
            </w:pPr>
          </w:p>
        </w:tc>
        <w:tc>
          <w:tcPr>
            <w:tcW w:w="580" w:type="dxa"/>
            <w:vAlign w:val="bottom"/>
            <w:shd w:val="clear" w:color="auto" w:fill="CCCCFF"/>
          </w:tcPr>
          <w:p>
            <w:pPr>
              <w:spacing w:after="0" w:line="20" w:lineRule="exact"/>
              <w:rPr>
                <w:sz w:val="1"/>
                <w:szCs w:val="1"/>
                <w:color w:val="auto"/>
              </w:rPr>
            </w:pPr>
          </w:p>
        </w:tc>
        <w:tc>
          <w:tcPr>
            <w:tcW w:w="280" w:type="dxa"/>
            <w:vAlign w:val="bottom"/>
            <w:shd w:val="clear" w:color="auto" w:fill="CCCCFF"/>
          </w:tcPr>
          <w:p>
            <w:pPr>
              <w:spacing w:after="0" w:line="20" w:lineRule="exact"/>
              <w:rPr>
                <w:sz w:val="1"/>
                <w:szCs w:val="1"/>
                <w:color w:val="auto"/>
              </w:rPr>
            </w:pPr>
          </w:p>
        </w:tc>
        <w:tc>
          <w:tcPr>
            <w:tcW w:w="420" w:type="dxa"/>
            <w:vAlign w:val="bottom"/>
            <w:gridSpan w:val="2"/>
            <w:shd w:val="clear" w:color="auto" w:fill="CCCCFF"/>
          </w:tcPr>
          <w:p>
            <w:pPr>
              <w:spacing w:after="0" w:line="20" w:lineRule="exact"/>
              <w:rPr>
                <w:sz w:val="1"/>
                <w:szCs w:val="1"/>
                <w:color w:val="auto"/>
              </w:rPr>
            </w:pPr>
          </w:p>
        </w:tc>
        <w:tc>
          <w:tcPr>
            <w:tcW w:w="260" w:type="dxa"/>
            <w:vAlign w:val="bottom"/>
            <w:shd w:val="clear" w:color="auto" w:fill="CCCCFF"/>
          </w:tcPr>
          <w:p>
            <w:pPr>
              <w:spacing w:after="0" w:line="20" w:lineRule="exact"/>
              <w:rPr>
                <w:sz w:val="1"/>
                <w:szCs w:val="1"/>
                <w:color w:val="auto"/>
              </w:rPr>
            </w:pPr>
          </w:p>
        </w:tc>
        <w:tc>
          <w:tcPr>
            <w:tcW w:w="560" w:type="dxa"/>
            <w:vAlign w:val="bottom"/>
            <w:gridSpan w:val="2"/>
            <w:shd w:val="clear" w:color="auto" w:fill="CCCCFF"/>
          </w:tcPr>
          <w:p>
            <w:pPr>
              <w:spacing w:after="0" w:line="20" w:lineRule="exact"/>
              <w:rPr>
                <w:sz w:val="1"/>
                <w:szCs w:val="1"/>
                <w:color w:val="auto"/>
              </w:rPr>
            </w:pPr>
          </w:p>
        </w:tc>
        <w:tc>
          <w:tcPr>
            <w:tcW w:w="580" w:type="dxa"/>
            <w:vAlign w:val="bottom"/>
            <w:shd w:val="clear" w:color="auto" w:fill="CCCCFF"/>
          </w:tcPr>
          <w:p>
            <w:pPr>
              <w:spacing w:after="0" w:line="20" w:lineRule="exact"/>
              <w:rPr>
                <w:sz w:val="1"/>
                <w:szCs w:val="1"/>
                <w:color w:val="auto"/>
              </w:rPr>
            </w:pPr>
          </w:p>
        </w:tc>
        <w:tc>
          <w:tcPr>
            <w:tcW w:w="380" w:type="dxa"/>
            <w:vAlign w:val="bottom"/>
            <w:gridSpan w:val="3"/>
            <w:shd w:val="clear" w:color="auto" w:fill="CCCCFF"/>
          </w:tcPr>
          <w:p>
            <w:pPr>
              <w:spacing w:after="0" w:line="20" w:lineRule="exact"/>
              <w:rPr>
                <w:sz w:val="1"/>
                <w:szCs w:val="1"/>
                <w:color w:val="auto"/>
              </w:rPr>
            </w:pPr>
          </w:p>
        </w:tc>
        <w:tc>
          <w:tcPr>
            <w:tcW w:w="440" w:type="dxa"/>
            <w:vAlign w:val="bottom"/>
            <w:gridSpan w:val="2"/>
            <w:shd w:val="clear" w:color="auto" w:fill="CCCC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260" w:type="dxa"/>
            <w:vAlign w:val="bottom"/>
            <w:shd w:val="clear" w:color="auto" w:fill="CCCCFF"/>
          </w:tcPr>
          <w:p>
            <w:pPr>
              <w:spacing w:after="0" w:line="20" w:lineRule="exact"/>
              <w:rPr>
                <w:sz w:val="1"/>
                <w:szCs w:val="1"/>
                <w:color w:val="auto"/>
              </w:rPr>
            </w:pPr>
          </w:p>
        </w:tc>
        <w:tc>
          <w:tcPr>
            <w:tcW w:w="3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920" w:type="dxa"/>
            <w:vAlign w:val="bottom"/>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 w:type="dxa"/>
            <w:vAlign w:val="bottom"/>
            <w:tcBorders>
              <w:bottom w:val="single" w:sz="8" w:color="CCCCFF"/>
            </w:tcBorders>
            <w:shd w:val="clear" w:color="auto" w:fill="CCCCFF"/>
          </w:tcPr>
          <w:p>
            <w:pPr>
              <w:spacing w:after="0"/>
              <w:rPr>
                <w:sz w:val="24"/>
                <w:szCs w:val="24"/>
                <w:color w:val="auto"/>
              </w:rPr>
            </w:pPr>
          </w:p>
        </w:tc>
        <w:tc>
          <w:tcPr>
            <w:tcW w:w="1260" w:type="dxa"/>
            <w:vAlign w:val="bottom"/>
            <w:tcBorders>
              <w:bottom w:val="single" w:sz="8" w:color="0000FF"/>
              <w:right w:val="single" w:sz="8" w:color="CCCCFF"/>
            </w:tcBorders>
            <w:gridSpan w:val="10"/>
            <w:shd w:val="clear" w:color="auto" w:fill="CCCCFF"/>
          </w:tcPr>
          <w:p>
            <w:pPr>
              <w:spacing w:after="0" w:line="250" w:lineRule="exact"/>
              <w:rPr>
                <w:sz w:val="20"/>
                <w:szCs w:val="20"/>
                <w:color w:val="auto"/>
              </w:rPr>
            </w:pPr>
            <w:r>
              <w:rPr>
                <w:rFonts w:ascii="Times New Roman" w:cs="Times New Roman" w:eastAsia="Times New Roman" w:hAnsi="Times New Roman"/>
                <w:sz w:val="22"/>
                <w:szCs w:val="22"/>
                <w:color w:val="0000FF"/>
                <w:w w:val="95"/>
              </w:rPr>
              <w:t>Sept. 30, 2029</w:t>
            </w:r>
          </w:p>
        </w:tc>
        <w:tc>
          <w:tcPr>
            <w:tcW w:w="660" w:type="dxa"/>
            <w:vAlign w:val="bottom"/>
            <w:tcBorders>
              <w:left w:val="single" w:sz="8" w:color="CCCCFF"/>
              <w:bottom w:val="single" w:sz="8" w:color="CCCCFF"/>
            </w:tcBorders>
            <w:gridSpan w:val="6"/>
            <w:shd w:val="clear" w:color="auto" w:fill="CCCCFF"/>
          </w:tcPr>
          <w:p>
            <w:pPr>
              <w:spacing w:after="0"/>
              <w:rPr>
                <w:sz w:val="24"/>
                <w:szCs w:val="24"/>
                <w:color w:val="auto"/>
              </w:rPr>
            </w:pPr>
          </w:p>
        </w:tc>
        <w:tc>
          <w:tcPr>
            <w:tcW w:w="280" w:type="dxa"/>
            <w:vAlign w:val="bottom"/>
            <w:tcBorders>
              <w:bottom w:val="single" w:sz="8" w:color="CCCCFF"/>
            </w:tcBorders>
            <w:shd w:val="clear" w:color="auto" w:fill="CCCCFF"/>
          </w:tcPr>
          <w:p>
            <w:pPr>
              <w:spacing w:after="0"/>
              <w:rPr>
                <w:sz w:val="24"/>
                <w:szCs w:val="24"/>
                <w:color w:val="auto"/>
              </w:rPr>
            </w:pPr>
          </w:p>
        </w:tc>
        <w:tc>
          <w:tcPr>
            <w:tcW w:w="280" w:type="dxa"/>
            <w:vAlign w:val="bottom"/>
            <w:tcBorders>
              <w:bottom w:val="single" w:sz="8" w:color="CCCCFF"/>
            </w:tcBorders>
            <w:shd w:val="clear" w:color="auto" w:fill="CCCCFF"/>
          </w:tcPr>
          <w:p>
            <w:pPr>
              <w:spacing w:after="0"/>
              <w:rPr>
                <w:sz w:val="24"/>
                <w:szCs w:val="24"/>
                <w:color w:val="auto"/>
              </w:rPr>
            </w:pPr>
          </w:p>
        </w:tc>
        <w:tc>
          <w:tcPr>
            <w:tcW w:w="420" w:type="dxa"/>
            <w:vAlign w:val="bottom"/>
            <w:tcBorders>
              <w:bottom w:val="single" w:sz="8" w:color="CCCCFF"/>
            </w:tcBorders>
            <w:shd w:val="clear" w:color="auto" w:fill="CCCCFF"/>
          </w:tcPr>
          <w:p>
            <w:pPr>
              <w:spacing w:after="0"/>
              <w:rPr>
                <w:sz w:val="24"/>
                <w:szCs w:val="24"/>
                <w:color w:val="auto"/>
              </w:rPr>
            </w:pPr>
          </w:p>
        </w:tc>
        <w:tc>
          <w:tcPr>
            <w:tcW w:w="160" w:type="dxa"/>
            <w:vAlign w:val="bottom"/>
            <w:tcBorders>
              <w:bottom w:val="single" w:sz="8" w:color="CCCCFF"/>
            </w:tcBorders>
            <w:shd w:val="clear" w:color="auto" w:fill="CCCCFF"/>
          </w:tcPr>
          <w:p>
            <w:pPr>
              <w:spacing w:after="0"/>
              <w:rPr>
                <w:sz w:val="24"/>
                <w:szCs w:val="24"/>
                <w:color w:val="auto"/>
              </w:rPr>
            </w:pPr>
          </w:p>
        </w:tc>
        <w:tc>
          <w:tcPr>
            <w:tcW w:w="980" w:type="dxa"/>
            <w:vAlign w:val="bottom"/>
            <w:tcBorders>
              <w:bottom w:val="single" w:sz="8" w:color="CCCCFF"/>
            </w:tcBorders>
            <w:shd w:val="clear" w:color="auto" w:fill="CCCCFF"/>
          </w:tcPr>
          <w:p>
            <w:pPr>
              <w:spacing w:after="0"/>
              <w:rPr>
                <w:sz w:val="24"/>
                <w:szCs w:val="24"/>
                <w:color w:val="auto"/>
              </w:rPr>
            </w:pPr>
          </w:p>
        </w:tc>
        <w:tc>
          <w:tcPr>
            <w:tcW w:w="580" w:type="dxa"/>
            <w:vAlign w:val="bottom"/>
            <w:tcBorders>
              <w:bottom w:val="single" w:sz="8" w:color="CCCCFF"/>
            </w:tcBorders>
            <w:shd w:val="clear" w:color="auto" w:fill="CCCCFF"/>
          </w:tcPr>
          <w:p>
            <w:pPr>
              <w:spacing w:after="0"/>
              <w:rPr>
                <w:sz w:val="24"/>
                <w:szCs w:val="24"/>
                <w:color w:val="auto"/>
              </w:rPr>
            </w:pPr>
          </w:p>
        </w:tc>
        <w:tc>
          <w:tcPr>
            <w:tcW w:w="280" w:type="dxa"/>
            <w:vAlign w:val="bottom"/>
            <w:tcBorders>
              <w:bottom w:val="single" w:sz="8" w:color="CCCCFF"/>
            </w:tcBorders>
            <w:shd w:val="clear" w:color="auto" w:fill="CCCCFF"/>
          </w:tcPr>
          <w:p>
            <w:pPr>
              <w:spacing w:after="0"/>
              <w:rPr>
                <w:sz w:val="24"/>
                <w:szCs w:val="24"/>
                <w:color w:val="auto"/>
              </w:rPr>
            </w:pPr>
          </w:p>
        </w:tc>
        <w:tc>
          <w:tcPr>
            <w:tcW w:w="2640" w:type="dxa"/>
            <w:vAlign w:val="bottom"/>
            <w:tcBorders>
              <w:bottom w:val="single" w:sz="8" w:color="CCCCFF"/>
            </w:tcBorders>
            <w:gridSpan w:val="11"/>
            <w:shd w:val="clear" w:color="auto" w:fill="CCCCFF"/>
          </w:tcPr>
          <w:p>
            <w:pPr>
              <w:spacing w:after="0"/>
              <w:rPr>
                <w:sz w:val="24"/>
                <w:szCs w:val="24"/>
                <w:color w:val="auto"/>
              </w:rPr>
            </w:pPr>
          </w:p>
        </w:tc>
        <w:tc>
          <w:tcPr>
            <w:tcW w:w="980" w:type="dxa"/>
            <w:vAlign w:val="bottom"/>
            <w:tcBorders>
              <w:bottom w:val="single" w:sz="8" w:color="0000FF"/>
            </w:tcBorders>
            <w:gridSpan w:val="8"/>
            <w:shd w:val="clear" w:color="auto" w:fill="CCCCFF"/>
          </w:tcPr>
          <w:p>
            <w:pPr>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160" w:type="dxa"/>
            <w:vAlign w:val="bottom"/>
            <w:tcBorders>
              <w:bottom w:val="single" w:sz="8" w:color="CCCCFF"/>
            </w:tcBorders>
            <w:shd w:val="clear" w:color="auto" w:fill="CCCCFF"/>
          </w:tcPr>
          <w:p>
            <w:pPr>
              <w:spacing w:after="0"/>
              <w:rPr>
                <w:sz w:val="24"/>
                <w:szCs w:val="24"/>
                <w:color w:val="auto"/>
              </w:rPr>
            </w:pPr>
          </w:p>
        </w:tc>
        <w:tc>
          <w:tcPr>
            <w:tcW w:w="260" w:type="dxa"/>
            <w:vAlign w:val="bottom"/>
            <w:tcBorders>
              <w:bottom w:val="single" w:sz="8" w:color="CCCCFF"/>
            </w:tcBorders>
            <w:shd w:val="clear" w:color="auto" w:fill="CCCCFF"/>
          </w:tcPr>
          <w:p>
            <w:pPr>
              <w:spacing w:after="0"/>
              <w:rPr>
                <w:sz w:val="24"/>
                <w:szCs w:val="24"/>
                <w:color w:val="auto"/>
              </w:rPr>
            </w:pPr>
          </w:p>
        </w:tc>
        <w:tc>
          <w:tcPr>
            <w:tcW w:w="320" w:type="dxa"/>
            <w:vAlign w:val="bottom"/>
            <w:tcBorders>
              <w:bottom w:val="single" w:sz="8" w:color="CCCCFF"/>
            </w:tcBorders>
            <w:shd w:val="clear" w:color="auto" w:fill="CCCCFF"/>
          </w:tcPr>
          <w:p>
            <w:pPr>
              <w:spacing w:after="0"/>
              <w:rPr>
                <w:sz w:val="24"/>
                <w:szCs w:val="24"/>
                <w:color w:val="auto"/>
              </w:rPr>
            </w:pPr>
          </w:p>
        </w:tc>
        <w:tc>
          <w:tcPr>
            <w:tcW w:w="940" w:type="dxa"/>
            <w:vAlign w:val="bottom"/>
            <w:tcBorders>
              <w:bottom w:val="single" w:sz="8" w:color="CCCCFF"/>
            </w:tcBorders>
            <w:shd w:val="clear" w:color="auto" w:fill="CCCCFF"/>
          </w:tcPr>
          <w:p>
            <w:pPr>
              <w:spacing w:after="0"/>
              <w:rPr>
                <w:sz w:val="24"/>
                <w:szCs w:val="24"/>
                <w:color w:val="auto"/>
              </w:rPr>
            </w:pPr>
          </w:p>
        </w:tc>
        <w:tc>
          <w:tcPr>
            <w:tcW w:w="40" w:type="dxa"/>
            <w:vAlign w:val="bottom"/>
            <w:tcBorders>
              <w:bottom w:val="single" w:sz="8" w:color="CCCCFF"/>
            </w:tcBorders>
            <w:shd w:val="clear" w:color="auto" w:fill="CCCCFF"/>
          </w:tcPr>
          <w:p>
            <w:pPr>
              <w:spacing w:after="0"/>
              <w:rPr>
                <w:sz w:val="24"/>
                <w:szCs w:val="24"/>
                <w:color w:val="auto"/>
              </w:rPr>
            </w:pPr>
          </w:p>
        </w:tc>
        <w:tc>
          <w:tcPr>
            <w:tcW w:w="920" w:type="dxa"/>
            <w:vAlign w:val="bottom"/>
            <w:tcBorders>
              <w:bottom w:val="single" w:sz="8" w:color="CCCCFF"/>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Dec. 31,</w:t>
            </w:r>
          </w:p>
        </w:tc>
        <w:tc>
          <w:tcPr>
            <w:tcW w:w="480" w:type="dxa"/>
            <w:vAlign w:val="bottom"/>
            <w:gridSpan w:val="6"/>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0"/>
              </w:rPr>
              <w:t>2025</w:t>
            </w:r>
          </w:p>
        </w:tc>
        <w:tc>
          <w:tcPr>
            <w:tcW w:w="380" w:type="dxa"/>
            <w:vAlign w:val="bottom"/>
            <w:tcBorders>
              <w:bottom w:val="single" w:sz="8" w:color="0000FF"/>
            </w:tcBorders>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0000FF"/>
                <w:w w:val="81"/>
              </w:rPr>
              <w:t>2029</w:t>
            </w:r>
          </w:p>
        </w:tc>
        <w:tc>
          <w:tcPr>
            <w:tcW w:w="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bottom w:val="single" w:sz="8" w:color="FECAF4"/>
            </w:tcBorders>
            <w:gridSpan w:val="3"/>
            <w:shd w:val="clear" w:color="auto" w:fill="FECAF4"/>
          </w:tcPr>
          <w:p>
            <w:pPr>
              <w:spacing w:after="0"/>
              <w:rPr>
                <w:sz w:val="21"/>
                <w:szCs w:val="21"/>
                <w:color w:val="auto"/>
              </w:rPr>
            </w:pPr>
          </w:p>
        </w:tc>
        <w:tc>
          <w:tcPr>
            <w:tcW w:w="980" w:type="dxa"/>
            <w:vAlign w:val="bottom"/>
            <w:tcBorders>
              <w:bottom w:val="single" w:sz="8" w:color="FECAF4"/>
            </w:tcBorders>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tcBorders>
              <w:bottom w:val="single" w:sz="8" w:color="FECAF4"/>
            </w:tcBorders>
            <w:shd w:val="clear" w:color="auto" w:fill="FECAF4"/>
          </w:tcPr>
          <w:p>
            <w:pPr>
              <w:spacing w:after="0"/>
              <w:rPr>
                <w:sz w:val="21"/>
                <w:szCs w:val="21"/>
                <w:color w:val="auto"/>
              </w:rPr>
            </w:pPr>
          </w:p>
        </w:tc>
        <w:tc>
          <w:tcPr>
            <w:tcW w:w="280" w:type="dxa"/>
            <w:vAlign w:val="bottom"/>
            <w:tcBorders>
              <w:bottom w:val="single" w:sz="8" w:color="FECAF4"/>
            </w:tcBorders>
            <w:shd w:val="clear" w:color="auto" w:fill="FECAF4"/>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6"/>
          </w:tcPr>
          <w:p>
            <w:pPr>
              <w:jc w:val="center"/>
              <w:ind w:left="32"/>
              <w:spacing w:after="0" w:line="243" w:lineRule="exact"/>
              <w:rPr>
                <w:sz w:val="20"/>
                <w:szCs w:val="20"/>
                <w:color w:val="auto"/>
              </w:rPr>
            </w:pPr>
            <w:r>
              <w:rPr>
                <w:rFonts w:ascii="Times New Roman" w:cs="Times New Roman" w:eastAsia="Times New Roman" w:hAnsi="Times New Roman"/>
                <w:sz w:val="22"/>
                <w:szCs w:val="22"/>
                <w:color w:val="FF0000"/>
                <w:strike w:val="1"/>
                <w:w w:val="97"/>
              </w:rPr>
              <w:t>March 31, 2028</w:t>
            </w:r>
          </w:p>
        </w:tc>
        <w:tc>
          <w:tcPr>
            <w:tcW w:w="980" w:type="dxa"/>
            <w:vAlign w:val="bottom"/>
            <w:tcBorders>
              <w:bottom w:val="single" w:sz="8" w:color="0000FF"/>
            </w:tcBorders>
            <w:gridSpan w:val="5"/>
          </w:tcPr>
          <w:p>
            <w:pPr>
              <w:jc w:val="right"/>
              <w:spacing w:after="0" w:line="243"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42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Borders>
              <w:bottom w:val="single" w:sz="8" w:color="FECAF4"/>
            </w:tcBorders>
            <w:gridSpan w:val="4"/>
            <w:shd w:val="clear" w:color="auto" w:fill="FECAF4"/>
          </w:tcPr>
          <w:p>
            <w:pPr>
              <w:spacing w:after="0"/>
              <w:rPr>
                <w:sz w:val="21"/>
                <w:szCs w:val="21"/>
                <w:color w:val="auto"/>
              </w:rPr>
            </w:pPr>
          </w:p>
        </w:tc>
        <w:tc>
          <w:tcPr>
            <w:tcW w:w="980" w:type="dxa"/>
            <w:vAlign w:val="bottom"/>
            <w:tcBorders>
              <w:bottom w:val="single" w:sz="8" w:color="FECAF4"/>
            </w:tcBorders>
            <w:gridSpan w:val="2"/>
            <w:shd w:val="clear" w:color="auto" w:fill="FECAF4"/>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6"/>
              </w:rPr>
              <w:t>$8,125,000</w:t>
            </w:r>
          </w:p>
        </w:tc>
        <w:tc>
          <w:tcPr>
            <w:tcW w:w="920" w:type="dxa"/>
            <w:vAlign w:val="bottom"/>
            <w:tcBorders>
              <w:bottom w:val="single" w:sz="8" w:color="FECAF4"/>
            </w:tcBorders>
            <w:shd w:val="clear" w:color="auto" w:fill="FECAF4"/>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March 31,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86"/>
              </w:rPr>
              <w:t>2026</w:t>
            </w:r>
          </w:p>
        </w:tc>
        <w:tc>
          <w:tcPr>
            <w:tcW w:w="560" w:type="dxa"/>
            <w:vAlign w:val="bottom"/>
            <w:gridSpan w:val="5"/>
          </w:tcPr>
          <w:p>
            <w:pPr>
              <w:jc w:val="right"/>
              <w:ind w:right="120"/>
              <w:spacing w:after="0"/>
              <w:rPr>
                <w:sz w:val="20"/>
                <w:szCs w:val="20"/>
                <w:color w:val="auto"/>
              </w:rPr>
            </w:pPr>
            <w:r>
              <w:rPr>
                <w:rFonts w:ascii="Times New Roman" w:cs="Times New Roman" w:eastAsia="Times New Roman" w:hAnsi="Times New Roman"/>
                <w:sz w:val="22"/>
                <w:szCs w:val="22"/>
                <w:color w:val="0000FF"/>
                <w:w w:val="95"/>
              </w:rPr>
              <w:t>2030</w:t>
            </w:r>
          </w:p>
        </w:tc>
        <w:tc>
          <w:tcPr>
            <w:tcW w:w="280" w:type="dxa"/>
            <w:vAlign w:val="bottom"/>
          </w:tcPr>
          <w:p>
            <w:pPr>
              <w:spacing w:after="0"/>
              <w:rPr>
                <w:sz w:val="24"/>
                <w:szCs w:val="24"/>
                <w:color w:val="auto"/>
              </w:rPr>
            </w:pPr>
          </w:p>
        </w:tc>
        <w:tc>
          <w:tcPr>
            <w:tcW w:w="860" w:type="dxa"/>
            <w:vAlign w:val="bottom"/>
            <w:gridSpan w:val="3"/>
            <w:shd w:val="clear" w:color="auto" w:fill="FECAF4"/>
          </w:tcPr>
          <w:p>
            <w:pPr>
              <w:spacing w:after="0"/>
              <w:rPr>
                <w:sz w:val="24"/>
                <w:szCs w:val="24"/>
                <w:color w:val="auto"/>
              </w:rPr>
            </w:pPr>
          </w:p>
        </w:tc>
        <w:tc>
          <w:tcPr>
            <w:tcW w:w="980" w:type="dxa"/>
            <w:vAlign w:val="bottom"/>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shd w:val="clear" w:color="auto" w:fill="FECAF4"/>
          </w:tcPr>
          <w:p>
            <w:pPr>
              <w:spacing w:after="0"/>
              <w:rPr>
                <w:sz w:val="24"/>
                <w:szCs w:val="24"/>
                <w:color w:val="auto"/>
              </w:rPr>
            </w:pPr>
          </w:p>
        </w:tc>
        <w:tc>
          <w:tcPr>
            <w:tcW w:w="280" w:type="dxa"/>
            <w:vAlign w:val="bottom"/>
            <w:shd w:val="clear" w:color="auto" w:fill="FECAF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132"/>
              <w:spacing w:after="0"/>
              <w:rPr>
                <w:sz w:val="20"/>
                <w:szCs w:val="20"/>
                <w:color w:val="auto"/>
              </w:rPr>
            </w:pPr>
            <w:r>
              <w:rPr>
                <w:rFonts w:ascii="Times New Roman" w:cs="Times New Roman" w:eastAsia="Times New Roman" w:hAnsi="Times New Roman"/>
                <w:sz w:val="22"/>
                <w:szCs w:val="22"/>
                <w:color w:val="FF0000"/>
                <w:strike w:val="1"/>
                <w:w w:val="98"/>
              </w:rPr>
              <w:t>April 9, 2028</w:t>
            </w:r>
          </w:p>
        </w:tc>
        <w:tc>
          <w:tcPr>
            <w:tcW w:w="1000" w:type="dxa"/>
            <w:vAlign w:val="bottom"/>
            <w:gridSpan w:val="6"/>
          </w:tcPr>
          <w:p>
            <w:pPr>
              <w:spacing w:after="0"/>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5,358,080</w:t>
            </w:r>
          </w:p>
        </w:tc>
        <w:tc>
          <w:tcPr>
            <w:tcW w:w="5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7"/>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7"/>
              </w:rPr>
              <w:t>Outstanding Principal Amount</w:t>
            </w: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top w:val="single" w:sz="8" w:color="FECAF4"/>
            </w:tcBorders>
            <w:shd w:val="clear" w:color="auto" w:fill="FECAF4"/>
          </w:tcPr>
          <w:p>
            <w:pPr>
              <w:spacing w:after="0"/>
              <w:rPr>
                <w:sz w:val="4"/>
                <w:szCs w:val="4"/>
                <w:color w:val="auto"/>
              </w:rPr>
            </w:pPr>
          </w:p>
        </w:tc>
        <w:tc>
          <w:tcPr>
            <w:tcW w:w="420" w:type="dxa"/>
            <w:vAlign w:val="bottom"/>
            <w:tcBorders>
              <w:top w:val="single" w:sz="8" w:color="FECAF4"/>
            </w:tcBorders>
            <w:shd w:val="clear" w:color="auto" w:fill="FECAF4"/>
          </w:tcPr>
          <w:p>
            <w:pPr>
              <w:spacing w:after="0"/>
              <w:rPr>
                <w:sz w:val="4"/>
                <w:szCs w:val="4"/>
                <w:color w:val="auto"/>
              </w:rPr>
            </w:pPr>
          </w:p>
        </w:tc>
        <w:tc>
          <w:tcPr>
            <w:tcW w:w="160" w:type="dxa"/>
            <w:vAlign w:val="bottom"/>
            <w:tcBorders>
              <w:top w:val="single" w:sz="8" w:color="FECAF4"/>
            </w:tcBorders>
            <w:shd w:val="clear" w:color="auto" w:fill="FECAF4"/>
          </w:tcPr>
          <w:p>
            <w:pPr>
              <w:spacing w:after="0"/>
              <w:rPr>
                <w:sz w:val="4"/>
                <w:szCs w:val="4"/>
                <w:color w:val="auto"/>
              </w:rPr>
            </w:pPr>
          </w:p>
        </w:tc>
        <w:tc>
          <w:tcPr>
            <w:tcW w:w="980" w:type="dxa"/>
            <w:vAlign w:val="bottom"/>
            <w:tcBorders>
              <w:top w:val="single" w:sz="8" w:color="FECAF4"/>
            </w:tcBorders>
            <w:shd w:val="clear" w:color="auto" w:fill="FECAF4"/>
          </w:tcPr>
          <w:p>
            <w:pPr>
              <w:spacing w:after="0"/>
              <w:rPr>
                <w:sz w:val="4"/>
                <w:szCs w:val="4"/>
                <w:color w:val="auto"/>
              </w:rPr>
            </w:pPr>
          </w:p>
        </w:tc>
        <w:tc>
          <w:tcPr>
            <w:tcW w:w="580" w:type="dxa"/>
            <w:vAlign w:val="bottom"/>
            <w:tcBorders>
              <w:top w:val="single" w:sz="8" w:color="FECAF4"/>
            </w:tcBorders>
            <w:shd w:val="clear" w:color="auto" w:fill="FECAF4"/>
          </w:tcPr>
          <w:p>
            <w:pPr>
              <w:spacing w:after="0"/>
              <w:rPr>
                <w:sz w:val="4"/>
                <w:szCs w:val="4"/>
                <w:color w:val="auto"/>
              </w:rPr>
            </w:pPr>
          </w:p>
        </w:tc>
        <w:tc>
          <w:tcPr>
            <w:tcW w:w="280" w:type="dxa"/>
            <w:vAlign w:val="bottom"/>
            <w:tcBorders>
              <w:top w:val="single" w:sz="8" w:color="FECAF4"/>
            </w:tcBorders>
            <w:shd w:val="clear" w:color="auto" w:fill="FECAF4"/>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top w:val="single" w:sz="8" w:color="FECAF4"/>
            </w:tcBorders>
            <w:shd w:val="clear" w:color="auto" w:fill="FECAF4"/>
          </w:tcPr>
          <w:p>
            <w:pPr>
              <w:spacing w:after="0"/>
              <w:rPr>
                <w:sz w:val="4"/>
                <w:szCs w:val="4"/>
                <w:color w:val="auto"/>
              </w:rPr>
            </w:pPr>
          </w:p>
        </w:tc>
        <w:tc>
          <w:tcPr>
            <w:tcW w:w="160" w:type="dxa"/>
            <w:vAlign w:val="bottom"/>
            <w:tcBorders>
              <w:top w:val="single" w:sz="8" w:color="FECAF4"/>
            </w:tcBorders>
            <w:shd w:val="clear" w:color="auto" w:fill="FECAF4"/>
          </w:tcPr>
          <w:p>
            <w:pPr>
              <w:spacing w:after="0"/>
              <w:rPr>
                <w:sz w:val="4"/>
                <w:szCs w:val="4"/>
                <w:color w:val="auto"/>
              </w:rPr>
            </w:pPr>
          </w:p>
        </w:tc>
        <w:tc>
          <w:tcPr>
            <w:tcW w:w="260" w:type="dxa"/>
            <w:vAlign w:val="bottom"/>
            <w:tcBorders>
              <w:top w:val="single" w:sz="8" w:color="FECAF4"/>
            </w:tcBorders>
            <w:shd w:val="clear" w:color="auto" w:fill="FECAF4"/>
          </w:tcPr>
          <w:p>
            <w:pPr>
              <w:spacing w:after="0"/>
              <w:rPr>
                <w:sz w:val="4"/>
                <w:szCs w:val="4"/>
                <w:color w:val="auto"/>
              </w:rPr>
            </w:pPr>
          </w:p>
        </w:tc>
        <w:tc>
          <w:tcPr>
            <w:tcW w:w="320" w:type="dxa"/>
            <w:vAlign w:val="bottom"/>
            <w:tcBorders>
              <w:top w:val="single" w:sz="8" w:color="FECAF4"/>
            </w:tcBorders>
            <w:shd w:val="clear" w:color="auto" w:fill="FECAF4"/>
          </w:tcPr>
          <w:p>
            <w:pPr>
              <w:spacing w:after="0"/>
              <w:rPr>
                <w:sz w:val="4"/>
                <w:szCs w:val="4"/>
                <w:color w:val="auto"/>
              </w:rPr>
            </w:pPr>
          </w:p>
        </w:tc>
        <w:tc>
          <w:tcPr>
            <w:tcW w:w="940" w:type="dxa"/>
            <w:vAlign w:val="bottom"/>
            <w:tcBorders>
              <w:top w:val="single" w:sz="8" w:color="FECAF4"/>
            </w:tcBorders>
            <w:shd w:val="clear" w:color="auto" w:fill="FECAF4"/>
          </w:tcPr>
          <w:p>
            <w:pPr>
              <w:spacing w:after="0"/>
              <w:rPr>
                <w:sz w:val="4"/>
                <w:szCs w:val="4"/>
                <w:color w:val="auto"/>
              </w:rPr>
            </w:pPr>
          </w:p>
        </w:tc>
        <w:tc>
          <w:tcPr>
            <w:tcW w:w="40" w:type="dxa"/>
            <w:vAlign w:val="bottom"/>
            <w:tcBorders>
              <w:top w:val="single" w:sz="8" w:color="FECAF4"/>
            </w:tcBorders>
            <w:shd w:val="clear" w:color="auto" w:fill="FECAF4"/>
          </w:tcPr>
          <w:p>
            <w:pPr>
              <w:spacing w:after="0"/>
              <w:rPr>
                <w:sz w:val="4"/>
                <w:szCs w:val="4"/>
                <w:color w:val="auto"/>
              </w:rPr>
            </w:pPr>
          </w:p>
        </w:tc>
        <w:tc>
          <w:tcPr>
            <w:tcW w:w="920" w:type="dxa"/>
            <w:vAlign w:val="bottom"/>
            <w:tcBorders>
              <w:top w:val="single" w:sz="8" w:color="FECAF4"/>
            </w:tcBorders>
            <w:shd w:val="clear" w:color="auto" w:fill="FECAF4"/>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CCFF"/>
          </w:tcPr>
          <w:p>
            <w:pPr>
              <w:spacing w:after="0"/>
              <w:rPr>
                <w:sz w:val="18"/>
                <w:szCs w:val="18"/>
                <w:color w:val="auto"/>
              </w:rPr>
            </w:pPr>
          </w:p>
        </w:tc>
        <w:tc>
          <w:tcPr>
            <w:tcW w:w="1360" w:type="dxa"/>
            <w:vAlign w:val="bottom"/>
            <w:gridSpan w:val="11"/>
            <w:shd w:val="clear" w:color="auto" w:fill="CCCCFF"/>
          </w:tcPr>
          <w:p>
            <w:pPr>
              <w:spacing w:after="0" w:line="216" w:lineRule="exact"/>
              <w:rPr>
                <w:sz w:val="20"/>
                <w:szCs w:val="20"/>
                <w:color w:val="auto"/>
              </w:rPr>
            </w:pPr>
            <w:r>
              <w:rPr>
                <w:rFonts w:ascii="Times New Roman" w:cs="Times New Roman" w:eastAsia="Times New Roman" w:hAnsi="Times New Roman"/>
                <w:sz w:val="22"/>
                <w:szCs w:val="22"/>
                <w:color w:val="0000FF"/>
              </w:rPr>
              <w:t>June 30, 2030</w:t>
            </w:r>
          </w:p>
        </w:tc>
        <w:tc>
          <w:tcPr>
            <w:tcW w:w="440" w:type="dxa"/>
            <w:vAlign w:val="bottom"/>
            <w:gridSpan w:val="4"/>
            <w:shd w:val="clear" w:color="auto" w:fill="CCCCFF"/>
          </w:tcPr>
          <w:p>
            <w:pPr>
              <w:spacing w:after="0"/>
              <w:rPr>
                <w:sz w:val="18"/>
                <w:szCs w:val="18"/>
                <w:color w:val="auto"/>
              </w:rPr>
            </w:pPr>
          </w:p>
        </w:tc>
        <w:tc>
          <w:tcPr>
            <w:tcW w:w="12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20" w:type="dxa"/>
            <w:vAlign w:val="bottom"/>
            <w:shd w:val="clear" w:color="auto" w:fill="CCCCFF"/>
          </w:tcPr>
          <w:p>
            <w:pPr>
              <w:spacing w:after="0"/>
              <w:rPr>
                <w:sz w:val="18"/>
                <w:szCs w:val="18"/>
                <w:color w:val="auto"/>
              </w:rPr>
            </w:pPr>
          </w:p>
        </w:tc>
        <w:tc>
          <w:tcPr>
            <w:tcW w:w="160" w:type="dxa"/>
            <w:vAlign w:val="bottom"/>
            <w:shd w:val="clear" w:color="auto" w:fill="CCCCFF"/>
          </w:tcPr>
          <w:p>
            <w:pPr>
              <w:spacing w:after="0"/>
              <w:rPr>
                <w:sz w:val="18"/>
                <w:szCs w:val="18"/>
                <w:color w:val="auto"/>
              </w:rPr>
            </w:pPr>
          </w:p>
        </w:tc>
        <w:tc>
          <w:tcPr>
            <w:tcW w:w="980" w:type="dxa"/>
            <w:vAlign w:val="bottom"/>
            <w:shd w:val="clear" w:color="auto" w:fill="CCCCFF"/>
          </w:tcPr>
          <w:p>
            <w:pPr>
              <w:spacing w:after="0"/>
              <w:rPr>
                <w:sz w:val="18"/>
                <w:szCs w:val="18"/>
                <w:color w:val="auto"/>
              </w:rPr>
            </w:pPr>
          </w:p>
        </w:tc>
        <w:tc>
          <w:tcPr>
            <w:tcW w:w="5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20" w:type="dxa"/>
            <w:vAlign w:val="bottom"/>
            <w:gridSpan w:val="6"/>
            <w:shd w:val="clear" w:color="auto" w:fill="CCCCFF"/>
          </w:tcPr>
          <w:p>
            <w:pPr>
              <w:spacing w:after="0"/>
              <w:rPr>
                <w:sz w:val="18"/>
                <w:szCs w:val="18"/>
                <w:color w:val="auto"/>
              </w:rPr>
            </w:pPr>
          </w:p>
        </w:tc>
        <w:tc>
          <w:tcPr>
            <w:tcW w:w="1640" w:type="dxa"/>
            <w:vAlign w:val="bottom"/>
            <w:gridSpan w:val="12"/>
            <w:shd w:val="clear" w:color="auto" w:fill="CCCCFF"/>
          </w:tcPr>
          <w:p>
            <w:pPr>
              <w:ind w:left="820"/>
              <w:spacing w:after="0" w:line="216" w:lineRule="exact"/>
              <w:rPr>
                <w:sz w:val="20"/>
                <w:szCs w:val="20"/>
                <w:color w:val="auto"/>
              </w:rPr>
            </w:pPr>
            <w:r>
              <w:rPr>
                <w:rFonts w:ascii="Times New Roman" w:cs="Times New Roman" w:eastAsia="Times New Roman" w:hAnsi="Times New Roman"/>
                <w:sz w:val="22"/>
                <w:szCs w:val="22"/>
                <w:u w:val="single" w:color="auto"/>
                <w:color w:val="0000FF"/>
                <w:w w:val="80"/>
              </w:rPr>
              <w:t>$</w:t>
            </w:r>
            <w:r>
              <w:rPr>
                <w:rFonts w:ascii="Times New Roman" w:cs="Times New Roman" w:eastAsia="Times New Roman" w:hAnsi="Times New Roman"/>
                <w:sz w:val="22"/>
                <w:szCs w:val="22"/>
                <w:color w:val="0000FF"/>
                <w:w w:val="80"/>
              </w:rPr>
              <w:t>5,358,080</w:t>
            </w:r>
          </w:p>
        </w:tc>
        <w:tc>
          <w:tcPr>
            <w:tcW w:w="160" w:type="dxa"/>
            <w:vAlign w:val="bottom"/>
            <w:shd w:val="clear" w:color="auto" w:fill="CCCCFF"/>
          </w:tcPr>
          <w:p>
            <w:pPr>
              <w:spacing w:after="0"/>
              <w:rPr>
                <w:sz w:val="18"/>
                <w:szCs w:val="18"/>
                <w:color w:val="auto"/>
              </w:rPr>
            </w:pPr>
          </w:p>
        </w:tc>
        <w:tc>
          <w:tcPr>
            <w:tcW w:w="160" w:type="dxa"/>
            <w:vAlign w:val="bottom"/>
            <w:shd w:val="clear" w:color="auto" w:fill="CCCCFF"/>
          </w:tcPr>
          <w:p>
            <w:pPr>
              <w:spacing w:after="0"/>
              <w:rPr>
                <w:sz w:val="18"/>
                <w:szCs w:val="18"/>
                <w:color w:val="auto"/>
              </w:rPr>
            </w:pPr>
          </w:p>
        </w:tc>
        <w:tc>
          <w:tcPr>
            <w:tcW w:w="260" w:type="dxa"/>
            <w:vAlign w:val="bottom"/>
            <w:shd w:val="clear" w:color="auto" w:fill="CCCCFF"/>
          </w:tcPr>
          <w:p>
            <w:pPr>
              <w:spacing w:after="0"/>
              <w:rPr>
                <w:sz w:val="18"/>
                <w:szCs w:val="18"/>
                <w:color w:val="auto"/>
              </w:rPr>
            </w:pPr>
          </w:p>
        </w:tc>
        <w:tc>
          <w:tcPr>
            <w:tcW w:w="320" w:type="dxa"/>
            <w:vAlign w:val="bottom"/>
            <w:shd w:val="clear" w:color="auto" w:fill="CCCCFF"/>
          </w:tcPr>
          <w:p>
            <w:pPr>
              <w:spacing w:after="0"/>
              <w:rPr>
                <w:sz w:val="18"/>
                <w:szCs w:val="18"/>
                <w:color w:val="auto"/>
              </w:rPr>
            </w:pPr>
          </w:p>
        </w:tc>
        <w:tc>
          <w:tcPr>
            <w:tcW w:w="9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920" w:type="dxa"/>
            <w:vAlign w:val="bottom"/>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0000FF"/>
              <w:right w:val="single" w:sz="8" w:color="CCCCFF"/>
            </w:tcBorders>
            <w:shd w:val="clear" w:color="auto" w:fill="CCCCFF"/>
          </w:tcPr>
          <w:p>
            <w:pPr>
              <w:spacing w:after="0"/>
              <w:rPr>
                <w:sz w:val="2"/>
                <w:szCs w:val="2"/>
                <w:color w:val="auto"/>
              </w:rPr>
            </w:pPr>
          </w:p>
        </w:tc>
        <w:tc>
          <w:tcPr>
            <w:tcW w:w="30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4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20" w:type="dxa"/>
            <w:vAlign w:val="bottom"/>
            <w:tcBorders>
              <w:top w:val="single" w:sz="8" w:color="0000FF"/>
            </w:tcBorders>
            <w:shd w:val="clear" w:color="auto" w:fill="CCCCFF"/>
          </w:tcPr>
          <w:p>
            <w:pPr>
              <w:spacing w:after="0"/>
              <w:rPr>
                <w:sz w:val="2"/>
                <w:szCs w:val="2"/>
                <w:color w:val="auto"/>
              </w:rPr>
            </w:pPr>
          </w:p>
        </w:tc>
        <w:tc>
          <w:tcPr>
            <w:tcW w:w="1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0000FF"/>
            </w:tcBorders>
            <w:shd w:val="clear" w:color="auto" w:fill="CCCCFF"/>
          </w:tcPr>
          <w:p>
            <w:pPr>
              <w:spacing w:after="0"/>
              <w:rPr>
                <w:sz w:val="2"/>
                <w:szCs w:val="2"/>
                <w:color w:val="auto"/>
              </w:rPr>
            </w:pPr>
          </w:p>
        </w:tc>
        <w:tc>
          <w:tcPr>
            <w:tcW w:w="200" w:type="dxa"/>
            <w:vAlign w:val="bottom"/>
            <w:tcBorders>
              <w:top w:val="single" w:sz="8" w:color="0000FF"/>
              <w:right w:val="single" w:sz="8" w:color="CCCCFF"/>
            </w:tcBorders>
            <w:shd w:val="clear" w:color="auto" w:fill="CCCCFF"/>
          </w:tcPr>
          <w:p>
            <w:pPr>
              <w:spacing w:after="0"/>
              <w:rPr>
                <w:sz w:val="2"/>
                <w:szCs w:val="2"/>
                <w:color w:val="auto"/>
              </w:rPr>
            </w:pPr>
          </w:p>
        </w:tc>
        <w:tc>
          <w:tcPr>
            <w:tcW w:w="100" w:type="dxa"/>
            <w:vAlign w:val="bottom"/>
            <w:tcBorders>
              <w:top w:val="single" w:sz="8" w:color="CCCCFF"/>
              <w:left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1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420" w:type="dxa"/>
            <w:vAlign w:val="bottom"/>
            <w:tcBorders>
              <w:top w:val="single" w:sz="8" w:color="CCCC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9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200" w:type="dxa"/>
            <w:vAlign w:val="bottom"/>
            <w:tcBorders>
              <w:top w:val="single" w:sz="8" w:color="CCCCFF"/>
            </w:tcBorders>
            <w:shd w:val="clear" w:color="auto" w:fill="CCCCFF"/>
          </w:tcPr>
          <w:p>
            <w:pPr>
              <w:spacing w:after="0"/>
              <w:rPr>
                <w:sz w:val="2"/>
                <w:szCs w:val="2"/>
                <w:color w:val="auto"/>
              </w:rPr>
            </w:pPr>
          </w:p>
        </w:tc>
        <w:tc>
          <w:tcPr>
            <w:tcW w:w="22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CCCCFF"/>
            </w:tcBorders>
            <w:shd w:val="clear" w:color="auto" w:fill="CCCCFF"/>
          </w:tcPr>
          <w:p>
            <w:pPr>
              <w:spacing w:after="0"/>
              <w:rPr>
                <w:sz w:val="2"/>
                <w:szCs w:val="2"/>
                <w:color w:val="auto"/>
              </w:rPr>
            </w:pPr>
          </w:p>
        </w:tc>
        <w:tc>
          <w:tcPr>
            <w:tcW w:w="380" w:type="dxa"/>
            <w:vAlign w:val="bottom"/>
            <w:tcBorders>
              <w:top w:val="single" w:sz="8" w:color="CCCCFF"/>
            </w:tcBorders>
            <w:shd w:val="clear" w:color="auto" w:fill="CCCCFF"/>
          </w:tcPr>
          <w:p>
            <w:pPr>
              <w:spacing w:after="0"/>
              <w:rPr>
                <w:sz w:val="2"/>
                <w:szCs w:val="2"/>
                <w:color w:val="auto"/>
              </w:rPr>
            </w:pPr>
          </w:p>
        </w:tc>
        <w:tc>
          <w:tcPr>
            <w:tcW w:w="580" w:type="dxa"/>
            <w:vAlign w:val="bottom"/>
            <w:tcBorders>
              <w:top w:val="single" w:sz="8" w:color="CCCCFF"/>
            </w:tcBorders>
            <w:shd w:val="clear" w:color="auto" w:fill="CCCCFF"/>
          </w:tcPr>
          <w:p>
            <w:pPr>
              <w:spacing w:after="0"/>
              <w:rPr>
                <w:sz w:val="2"/>
                <w:szCs w:val="2"/>
                <w:color w:val="auto"/>
              </w:rPr>
            </w:pPr>
          </w:p>
        </w:tc>
        <w:tc>
          <w:tcPr>
            <w:tcW w:w="20" w:type="dxa"/>
            <w:vAlign w:val="bottom"/>
            <w:tcBorders>
              <w:top w:val="single" w:sz="8" w:color="CCCCFF"/>
            </w:tcBorders>
            <w:shd w:val="clear" w:color="auto" w:fill="CCCCFF"/>
          </w:tcPr>
          <w:p>
            <w:pPr>
              <w:spacing w:after="0"/>
              <w:rPr>
                <w:sz w:val="2"/>
                <w:szCs w:val="2"/>
                <w:color w:val="auto"/>
              </w:rPr>
            </w:pPr>
          </w:p>
        </w:tc>
        <w:tc>
          <w:tcPr>
            <w:tcW w:w="80" w:type="dxa"/>
            <w:vAlign w:val="bottom"/>
            <w:tcBorders>
              <w:top w:val="single" w:sz="8" w:color="CCCCFF"/>
            </w:tcBorders>
            <w:shd w:val="clear" w:color="auto" w:fill="CCCCFF"/>
          </w:tcPr>
          <w:p>
            <w:pPr>
              <w:spacing w:after="0"/>
              <w:rPr>
                <w:sz w:val="2"/>
                <w:szCs w:val="2"/>
                <w:color w:val="auto"/>
              </w:rPr>
            </w:pPr>
          </w:p>
        </w:tc>
        <w:tc>
          <w:tcPr>
            <w:tcW w:w="280" w:type="dxa"/>
            <w:vAlign w:val="bottom"/>
            <w:tcBorders>
              <w:top w:val="single" w:sz="8" w:color="CCCCFF"/>
            </w:tcBorders>
            <w:shd w:val="clear" w:color="auto" w:fill="CCCCFF"/>
          </w:tcPr>
          <w:p>
            <w:pPr>
              <w:spacing w:after="0"/>
              <w:rPr>
                <w:sz w:val="2"/>
                <w:szCs w:val="2"/>
                <w:color w:val="auto"/>
              </w:rPr>
            </w:pPr>
          </w:p>
        </w:tc>
        <w:tc>
          <w:tcPr>
            <w:tcW w:w="12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180" w:type="dxa"/>
            <w:vAlign w:val="bottom"/>
            <w:tcBorders>
              <w:top w:val="single" w:sz="8" w:color="0000FF"/>
              <w:right w:val="single" w:sz="8" w:color="CCCC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12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80" w:type="dxa"/>
            <w:vAlign w:val="bottom"/>
            <w:tcBorders>
              <w:top w:val="single" w:sz="8" w:color="0000FF"/>
            </w:tcBorders>
            <w:shd w:val="clear" w:color="auto" w:fill="CCCCFF"/>
          </w:tcPr>
          <w:p>
            <w:pPr>
              <w:spacing w:after="0"/>
              <w:rPr>
                <w:sz w:val="2"/>
                <w:szCs w:val="2"/>
                <w:color w:val="auto"/>
              </w:rPr>
            </w:pPr>
          </w:p>
        </w:tc>
        <w:tc>
          <w:tcPr>
            <w:tcW w:w="60" w:type="dxa"/>
            <w:vAlign w:val="bottom"/>
            <w:tcBorders>
              <w:top w:val="single" w:sz="8" w:color="0000FF"/>
            </w:tcBorders>
            <w:shd w:val="clear" w:color="auto" w:fill="CCCCFF"/>
          </w:tcPr>
          <w:p>
            <w:pPr>
              <w:spacing w:after="0"/>
              <w:rPr>
                <w:sz w:val="2"/>
                <w:szCs w:val="2"/>
                <w:color w:val="auto"/>
              </w:rPr>
            </w:pPr>
          </w:p>
        </w:tc>
        <w:tc>
          <w:tcPr>
            <w:tcW w:w="14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0000FF"/>
            </w:tcBorders>
            <w:shd w:val="clear" w:color="auto" w:fill="CCCCFF"/>
          </w:tcPr>
          <w:p>
            <w:pPr>
              <w:spacing w:after="0"/>
              <w:rPr>
                <w:sz w:val="2"/>
                <w:szCs w:val="2"/>
                <w:color w:val="auto"/>
              </w:rPr>
            </w:pPr>
          </w:p>
        </w:tc>
        <w:tc>
          <w:tcPr>
            <w:tcW w:w="160" w:type="dxa"/>
            <w:vAlign w:val="bottom"/>
            <w:tcBorders>
              <w:top w:val="single" w:sz="8" w:color="CCCCFF"/>
            </w:tcBorders>
            <w:shd w:val="clear" w:color="auto" w:fill="CCCCFF"/>
          </w:tcPr>
          <w:p>
            <w:pPr>
              <w:spacing w:after="0"/>
              <w:rPr>
                <w:sz w:val="2"/>
                <w:szCs w:val="2"/>
                <w:color w:val="auto"/>
              </w:rPr>
            </w:pPr>
          </w:p>
        </w:tc>
        <w:tc>
          <w:tcPr>
            <w:tcW w:w="260" w:type="dxa"/>
            <w:vAlign w:val="bottom"/>
            <w:tcBorders>
              <w:top w:val="single" w:sz="8" w:color="CCCCFF"/>
            </w:tcBorders>
            <w:shd w:val="clear" w:color="auto" w:fill="CCCCFF"/>
          </w:tcPr>
          <w:p>
            <w:pPr>
              <w:spacing w:after="0"/>
              <w:rPr>
                <w:sz w:val="2"/>
                <w:szCs w:val="2"/>
                <w:color w:val="auto"/>
              </w:rPr>
            </w:pPr>
          </w:p>
        </w:tc>
        <w:tc>
          <w:tcPr>
            <w:tcW w:w="320" w:type="dxa"/>
            <w:vAlign w:val="bottom"/>
            <w:tcBorders>
              <w:top w:val="single" w:sz="8" w:color="CCCCFF"/>
            </w:tcBorders>
            <w:shd w:val="clear" w:color="auto" w:fill="CCCCFF"/>
          </w:tcPr>
          <w:p>
            <w:pPr>
              <w:spacing w:after="0"/>
              <w:rPr>
                <w:sz w:val="2"/>
                <w:szCs w:val="2"/>
                <w:color w:val="auto"/>
              </w:rPr>
            </w:pPr>
          </w:p>
        </w:tc>
        <w:tc>
          <w:tcPr>
            <w:tcW w:w="940" w:type="dxa"/>
            <w:vAlign w:val="bottom"/>
            <w:tcBorders>
              <w:top w:val="single" w:sz="8" w:color="CCCCFF"/>
            </w:tcBorders>
            <w:shd w:val="clear" w:color="auto" w:fill="CCCCFF"/>
          </w:tcPr>
          <w:p>
            <w:pPr>
              <w:spacing w:after="0"/>
              <w:rPr>
                <w:sz w:val="2"/>
                <w:szCs w:val="2"/>
                <w:color w:val="auto"/>
              </w:rPr>
            </w:pPr>
          </w:p>
        </w:tc>
        <w:tc>
          <w:tcPr>
            <w:tcW w:w="40" w:type="dxa"/>
            <w:vAlign w:val="bottom"/>
            <w:tcBorders>
              <w:top w:val="single" w:sz="8" w:color="CCCCFF"/>
            </w:tcBorders>
            <w:shd w:val="clear" w:color="auto" w:fill="CCCCFF"/>
          </w:tcPr>
          <w:p>
            <w:pPr>
              <w:spacing w:after="0"/>
              <w:rPr>
                <w:sz w:val="2"/>
                <w:szCs w:val="2"/>
                <w:color w:val="auto"/>
              </w:rPr>
            </w:pPr>
          </w:p>
        </w:tc>
        <w:tc>
          <w:tcPr>
            <w:tcW w:w="920" w:type="dxa"/>
            <w:vAlign w:val="bottom"/>
            <w:tcBorders>
              <w:top w:val="single" w:sz="8" w:color="CCCCFF"/>
            </w:tcBorders>
            <w:shd w:val="clear" w:color="auto" w:fill="CCC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FF0000"/>
                <w:strike w:val="1"/>
                <w:w w:val="94"/>
              </w:rPr>
              <w:t>June</w:t>
            </w:r>
          </w:p>
        </w:tc>
        <w:tc>
          <w:tcPr>
            <w:tcW w:w="1500" w:type="dxa"/>
            <w:vAlign w:val="bottom"/>
            <w:gridSpan w:val="15"/>
          </w:tcPr>
          <w:p>
            <w:pPr>
              <w:spacing w:after="0" w:line="209" w:lineRule="exact"/>
              <w:rPr>
                <w:sz w:val="20"/>
                <w:szCs w:val="20"/>
                <w:color w:val="auto"/>
              </w:rPr>
            </w:pPr>
            <w:r>
              <w:rPr>
                <w:rFonts w:ascii="Times New Roman" w:cs="Times New Roman" w:eastAsia="Times New Roman" w:hAnsi="Times New Roman"/>
                <w:sz w:val="22"/>
                <w:szCs w:val="22"/>
                <w:color w:val="0000FF"/>
              </w:rPr>
              <w:t xml:space="preserve">September </w:t>
            </w:r>
            <w:r>
              <w:rPr>
                <w:rFonts w:ascii="Times New Roman" w:cs="Times New Roman" w:eastAsia="Times New Roman" w:hAnsi="Times New Roman"/>
                <w:sz w:val="22"/>
                <w:szCs w:val="22"/>
                <w:color w:val="000000"/>
              </w:rPr>
              <w:t>30,</w:t>
            </w:r>
          </w:p>
        </w:tc>
        <w:tc>
          <w:tcPr>
            <w:tcW w:w="280" w:type="dxa"/>
            <w:vAlign w:val="bottom"/>
          </w:tcPr>
          <w:p>
            <w:pPr>
              <w:spacing w:after="0"/>
              <w:rPr>
                <w:sz w:val="18"/>
                <w:szCs w:val="18"/>
                <w:color w:val="auto"/>
              </w:rPr>
            </w:pPr>
          </w:p>
        </w:tc>
        <w:tc>
          <w:tcPr>
            <w:tcW w:w="860" w:type="dxa"/>
            <w:vAlign w:val="bottom"/>
            <w:tcBorders>
              <w:bottom w:val="single" w:sz="8" w:color="FECAF4"/>
            </w:tcBorders>
            <w:gridSpan w:val="3"/>
            <w:shd w:val="clear" w:color="auto" w:fill="FECAF4"/>
          </w:tcPr>
          <w:p>
            <w:pPr>
              <w:spacing w:after="0"/>
              <w:rPr>
                <w:sz w:val="18"/>
                <w:szCs w:val="18"/>
                <w:color w:val="auto"/>
              </w:rPr>
            </w:pPr>
          </w:p>
        </w:tc>
        <w:tc>
          <w:tcPr>
            <w:tcW w:w="980" w:type="dxa"/>
            <w:vAlign w:val="bottom"/>
            <w:tcBorders>
              <w:bottom w:val="single" w:sz="8" w:color="FECAF4"/>
            </w:tcBorders>
            <w:shd w:val="clear" w:color="auto" w:fill="FECAF4"/>
          </w:tcPr>
          <w:p>
            <w:pPr>
              <w:jc w:val="center"/>
              <w:spacing w:after="0" w:line="209" w:lineRule="exact"/>
              <w:rPr>
                <w:sz w:val="20"/>
                <w:szCs w:val="20"/>
                <w:color w:val="auto"/>
              </w:rPr>
            </w:pPr>
            <w:r>
              <w:rPr>
                <w:rFonts w:ascii="Times New Roman" w:cs="Times New Roman" w:eastAsia="Times New Roman" w:hAnsi="Times New Roman"/>
                <w:sz w:val="22"/>
                <w:szCs w:val="22"/>
                <w:color w:val="FF0000"/>
                <w:strike w:val="1"/>
                <w:w w:val="98"/>
              </w:rPr>
              <w:t>$8,125,000</w:t>
            </w:r>
          </w:p>
        </w:tc>
        <w:tc>
          <w:tcPr>
            <w:tcW w:w="580" w:type="dxa"/>
            <w:vAlign w:val="bottom"/>
            <w:tcBorders>
              <w:bottom w:val="single" w:sz="8" w:color="FECAF4"/>
            </w:tcBorders>
            <w:shd w:val="clear" w:color="auto" w:fill="FECAF4"/>
          </w:tcPr>
          <w:p>
            <w:pPr>
              <w:spacing w:after="0"/>
              <w:rPr>
                <w:sz w:val="18"/>
                <w:szCs w:val="18"/>
                <w:color w:val="auto"/>
              </w:rPr>
            </w:pPr>
          </w:p>
        </w:tc>
        <w:tc>
          <w:tcPr>
            <w:tcW w:w="280" w:type="dxa"/>
            <w:vAlign w:val="bottom"/>
            <w:tcBorders>
              <w:bottom w:val="single" w:sz="8" w:color="FECAF4"/>
            </w:tcBorders>
            <w:shd w:val="clear" w:color="auto" w:fill="FECAF4"/>
          </w:tcPr>
          <w:p>
            <w:pPr>
              <w:spacing w:after="0"/>
              <w:rPr>
                <w:sz w:val="18"/>
                <w:szCs w:val="18"/>
                <w:color w:val="auto"/>
              </w:rPr>
            </w:pPr>
          </w:p>
        </w:tc>
        <w:tc>
          <w:tcPr>
            <w:tcW w:w="680" w:type="dxa"/>
            <w:vAlign w:val="bottom"/>
            <w:gridSpan w:val="3"/>
          </w:tcPr>
          <w:p>
            <w:pPr>
              <w:spacing w:after="0"/>
              <w:rPr>
                <w:sz w:val="18"/>
                <w:szCs w:val="18"/>
                <w:color w:val="auto"/>
              </w:rPr>
            </w:pPr>
          </w:p>
        </w:tc>
        <w:tc>
          <w:tcPr>
            <w:tcW w:w="560" w:type="dxa"/>
            <w:vAlign w:val="bottom"/>
            <w:gridSpan w:val="2"/>
          </w:tcPr>
          <w:p>
            <w:pPr>
              <w:spacing w:after="0"/>
              <w:rPr>
                <w:sz w:val="18"/>
                <w:szCs w:val="18"/>
                <w:color w:val="auto"/>
              </w:rPr>
            </w:pPr>
          </w:p>
        </w:tc>
        <w:tc>
          <w:tcPr>
            <w:tcW w:w="960" w:type="dxa"/>
            <w:vAlign w:val="bottom"/>
            <w:tcBorders>
              <w:bottom w:val="single" w:sz="8" w:color="0000FF"/>
            </w:tcBorders>
            <w:gridSpan w:val="4"/>
          </w:tcPr>
          <w:p>
            <w:pPr>
              <w:jc w:val="center"/>
              <w:spacing w:after="0" w:line="196" w:lineRule="exact"/>
              <w:rPr>
                <w:sz w:val="20"/>
                <w:szCs w:val="20"/>
                <w:color w:val="auto"/>
              </w:rPr>
            </w:pPr>
            <w:r>
              <w:rPr>
                <w:rFonts w:ascii="Times New Roman" w:cs="Times New Roman" w:eastAsia="Times New Roman" w:hAnsi="Times New Roman"/>
                <w:sz w:val="22"/>
                <w:szCs w:val="22"/>
                <w:u w:val="single" w:color="auto"/>
                <w:color w:val="0000FF"/>
                <w:w w:val="94"/>
              </w:rPr>
              <w:t>$</w:t>
            </w:r>
            <w:r>
              <w:rPr>
                <w:rFonts w:ascii="Times New Roman" w:cs="Times New Roman" w:eastAsia="Times New Roman" w:hAnsi="Times New Roman"/>
                <w:sz w:val="22"/>
                <w:szCs w:val="22"/>
                <w:color w:val="0000FF"/>
                <w:w w:val="94"/>
              </w:rPr>
              <w:t>5,358,080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FECAF4"/>
            </w:tcBorders>
            <w:shd w:val="clear" w:color="auto" w:fill="FECAF4"/>
          </w:tcPr>
          <w:p>
            <w:pPr>
              <w:spacing w:after="0"/>
              <w:rPr>
                <w:sz w:val="18"/>
                <w:szCs w:val="18"/>
                <w:color w:val="auto"/>
              </w:rPr>
            </w:pPr>
          </w:p>
        </w:tc>
        <w:tc>
          <w:tcPr>
            <w:tcW w:w="160" w:type="dxa"/>
            <w:vAlign w:val="bottom"/>
            <w:tcBorders>
              <w:bottom w:val="single" w:sz="8" w:color="FECAF4"/>
            </w:tcBorders>
            <w:shd w:val="clear" w:color="auto" w:fill="FECAF4"/>
          </w:tcPr>
          <w:p>
            <w:pPr>
              <w:spacing w:after="0"/>
              <w:rPr>
                <w:sz w:val="18"/>
                <w:szCs w:val="18"/>
                <w:color w:val="auto"/>
              </w:rPr>
            </w:pPr>
          </w:p>
        </w:tc>
        <w:tc>
          <w:tcPr>
            <w:tcW w:w="260" w:type="dxa"/>
            <w:vAlign w:val="bottom"/>
            <w:tcBorders>
              <w:bottom w:val="single" w:sz="8" w:color="FECAF4"/>
            </w:tcBorders>
            <w:shd w:val="clear" w:color="auto" w:fill="FECAF4"/>
          </w:tcPr>
          <w:p>
            <w:pPr>
              <w:spacing w:after="0"/>
              <w:rPr>
                <w:sz w:val="18"/>
                <w:szCs w:val="18"/>
                <w:color w:val="auto"/>
              </w:rPr>
            </w:pPr>
          </w:p>
        </w:tc>
        <w:tc>
          <w:tcPr>
            <w:tcW w:w="320" w:type="dxa"/>
            <w:vAlign w:val="bottom"/>
            <w:tcBorders>
              <w:bottom w:val="single" w:sz="8" w:color="FECAF4"/>
            </w:tcBorders>
            <w:shd w:val="clear" w:color="auto" w:fill="FECAF4"/>
          </w:tcPr>
          <w:p>
            <w:pPr>
              <w:spacing w:after="0"/>
              <w:rPr>
                <w:sz w:val="18"/>
                <w:szCs w:val="18"/>
                <w:color w:val="auto"/>
              </w:rPr>
            </w:pPr>
          </w:p>
        </w:tc>
        <w:tc>
          <w:tcPr>
            <w:tcW w:w="940" w:type="dxa"/>
            <w:vAlign w:val="bottom"/>
            <w:tcBorders>
              <w:bottom w:val="single" w:sz="8" w:color="FECAF4"/>
            </w:tcBorders>
            <w:shd w:val="clear" w:color="auto" w:fill="FECAF4"/>
          </w:tcPr>
          <w:p>
            <w:pPr>
              <w:spacing w:after="0"/>
              <w:rPr>
                <w:sz w:val="18"/>
                <w:szCs w:val="18"/>
                <w:color w:val="auto"/>
              </w:rPr>
            </w:pPr>
          </w:p>
        </w:tc>
        <w:tc>
          <w:tcPr>
            <w:tcW w:w="40" w:type="dxa"/>
            <w:vAlign w:val="bottom"/>
            <w:tcBorders>
              <w:bottom w:val="single" w:sz="8" w:color="FECAF4"/>
            </w:tcBorders>
            <w:shd w:val="clear" w:color="auto" w:fill="FECAF4"/>
          </w:tcPr>
          <w:p>
            <w:pPr>
              <w:spacing w:after="0"/>
              <w:rPr>
                <w:sz w:val="18"/>
                <w:szCs w:val="18"/>
                <w:color w:val="auto"/>
              </w:rPr>
            </w:pPr>
          </w:p>
        </w:tc>
        <w:tc>
          <w:tcPr>
            <w:tcW w:w="920" w:type="dxa"/>
            <w:vAlign w:val="bottom"/>
            <w:tcBorders>
              <w:bottom w:val="single" w:sz="8" w:color="FECAF4"/>
            </w:tcBorders>
            <w:shd w:val="clear" w:color="auto" w:fill="FECA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40" w:type="dxa"/>
            <w:vAlign w:val="bottom"/>
            <w:tcBorders>
              <w:bottom w:val="single" w:sz="8" w:color="0000FF"/>
            </w:tcBorders>
            <w:gridSpan w:val="7"/>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FECAF4"/>
            </w:tcBorders>
            <w:shd w:val="clear" w:color="auto" w:fill="FECAF4"/>
          </w:tcPr>
          <w:p>
            <w:pPr>
              <w:spacing w:after="0" w:line="20" w:lineRule="exact"/>
              <w:rPr>
                <w:sz w:val="1"/>
                <w:szCs w:val="1"/>
                <w:color w:val="auto"/>
              </w:rPr>
            </w:pPr>
          </w:p>
        </w:tc>
        <w:tc>
          <w:tcPr>
            <w:tcW w:w="420" w:type="dxa"/>
            <w:vAlign w:val="bottom"/>
            <w:tcBorders>
              <w:bottom w:val="single" w:sz="8" w:color="FECAF4"/>
            </w:tcBorders>
            <w:shd w:val="clear" w:color="auto" w:fill="FECAF4"/>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980" w:type="dxa"/>
            <w:vAlign w:val="bottom"/>
            <w:tcBorders>
              <w:bottom w:val="single" w:sz="8" w:color="FECAF4"/>
            </w:tcBorders>
            <w:shd w:val="clear" w:color="auto" w:fill="FECAF4"/>
          </w:tcPr>
          <w:p>
            <w:pPr>
              <w:spacing w:after="0" w:line="20" w:lineRule="exact"/>
              <w:rPr>
                <w:sz w:val="1"/>
                <w:szCs w:val="1"/>
                <w:color w:val="auto"/>
              </w:rPr>
            </w:pPr>
          </w:p>
        </w:tc>
        <w:tc>
          <w:tcPr>
            <w:tcW w:w="580" w:type="dxa"/>
            <w:vAlign w:val="bottom"/>
            <w:tcBorders>
              <w:bottom w:val="single" w:sz="8" w:color="FECAF4"/>
            </w:tcBorders>
            <w:shd w:val="clear" w:color="auto" w:fill="FECAF4"/>
          </w:tcPr>
          <w:p>
            <w:pPr>
              <w:spacing w:after="0" w:line="20" w:lineRule="exact"/>
              <w:rPr>
                <w:sz w:val="1"/>
                <w:szCs w:val="1"/>
                <w:color w:val="auto"/>
              </w:rPr>
            </w:pPr>
          </w:p>
        </w:tc>
        <w:tc>
          <w:tcPr>
            <w:tcW w:w="280" w:type="dxa"/>
            <w:vAlign w:val="bottom"/>
            <w:tcBorders>
              <w:bottom w:val="single" w:sz="8" w:color="FECAF4"/>
            </w:tcBorders>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260" w:type="dxa"/>
            <w:vAlign w:val="bottom"/>
            <w:tcBorders>
              <w:bottom w:val="single" w:sz="8" w:color="FECAF4"/>
            </w:tcBorders>
            <w:shd w:val="clear" w:color="auto" w:fill="FECAF4"/>
          </w:tcPr>
          <w:p>
            <w:pPr>
              <w:spacing w:after="0" w:line="20" w:lineRule="exact"/>
              <w:rPr>
                <w:sz w:val="1"/>
                <w:szCs w:val="1"/>
                <w:color w:val="auto"/>
              </w:rPr>
            </w:pPr>
          </w:p>
        </w:tc>
        <w:tc>
          <w:tcPr>
            <w:tcW w:w="320" w:type="dxa"/>
            <w:vAlign w:val="bottom"/>
            <w:tcBorders>
              <w:bottom w:val="single" w:sz="8" w:color="FECAF4"/>
            </w:tcBorders>
            <w:shd w:val="clear" w:color="auto" w:fill="FECAF4"/>
          </w:tcPr>
          <w:p>
            <w:pPr>
              <w:spacing w:after="0" w:line="20" w:lineRule="exact"/>
              <w:rPr>
                <w:sz w:val="1"/>
                <w:szCs w:val="1"/>
                <w:color w:val="auto"/>
              </w:rPr>
            </w:pPr>
          </w:p>
        </w:tc>
        <w:tc>
          <w:tcPr>
            <w:tcW w:w="940" w:type="dxa"/>
            <w:vAlign w:val="bottom"/>
            <w:tcBorders>
              <w:bottom w:val="single" w:sz="8" w:color="FECAF4"/>
            </w:tcBorders>
            <w:shd w:val="clear" w:color="auto" w:fill="FECAF4"/>
          </w:tcPr>
          <w:p>
            <w:pPr>
              <w:spacing w:after="0" w:line="20" w:lineRule="exact"/>
              <w:rPr>
                <w:sz w:val="1"/>
                <w:szCs w:val="1"/>
                <w:color w:val="auto"/>
              </w:rPr>
            </w:pPr>
          </w:p>
        </w:tc>
        <w:tc>
          <w:tcPr>
            <w:tcW w:w="40" w:type="dxa"/>
            <w:vAlign w:val="bottom"/>
            <w:tcBorders>
              <w:bottom w:val="single" w:sz="8" w:color="FECAF4"/>
            </w:tcBorders>
            <w:shd w:val="clear" w:color="auto" w:fill="FECAF4"/>
          </w:tcPr>
          <w:p>
            <w:pPr>
              <w:spacing w:after="0" w:line="20" w:lineRule="exact"/>
              <w:rPr>
                <w:sz w:val="1"/>
                <w:szCs w:val="1"/>
                <w:color w:val="auto"/>
              </w:rPr>
            </w:pPr>
          </w:p>
        </w:tc>
        <w:tc>
          <w:tcPr>
            <w:tcW w:w="920" w:type="dxa"/>
            <w:vAlign w:val="bottom"/>
            <w:tcBorders>
              <w:bottom w:val="single" w:sz="8" w:color="FECAF4"/>
            </w:tcBorders>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20" w:type="dxa"/>
            <w:vAlign w:val="bottom"/>
          </w:tcPr>
          <w:p>
            <w:pPr>
              <w:spacing w:after="0" w:line="224" w:lineRule="exact"/>
              <w:rPr>
                <w:sz w:val="20"/>
                <w:szCs w:val="20"/>
                <w:color w:val="auto"/>
              </w:rPr>
            </w:pPr>
            <w:r>
              <w:rPr>
                <w:rFonts w:ascii="Times New Roman" w:cs="Times New Roman" w:eastAsia="Times New Roman" w:hAnsi="Times New Roman"/>
                <w:sz w:val="22"/>
                <w:szCs w:val="22"/>
                <w:color w:val="FF0000"/>
                <w:strike w:val="1"/>
                <w:w w:val="86"/>
              </w:rPr>
              <w:t>2026</w:t>
            </w:r>
          </w:p>
        </w:tc>
        <w:tc>
          <w:tcPr>
            <w:tcW w:w="440" w:type="dxa"/>
            <w:vAlign w:val="bottom"/>
            <w:tcBorders>
              <w:bottom w:val="single" w:sz="8" w:color="0000FF"/>
            </w:tcBorders>
            <w:gridSpan w:val="6"/>
          </w:tcPr>
          <w:p>
            <w:pPr>
              <w:spacing w:after="0" w:line="224" w:lineRule="exact"/>
              <w:rPr>
                <w:sz w:val="20"/>
                <w:szCs w:val="20"/>
                <w:color w:val="auto"/>
              </w:rPr>
            </w:pPr>
            <w:r>
              <w:rPr>
                <w:rFonts w:ascii="Times New Roman" w:cs="Times New Roman" w:eastAsia="Times New Roman" w:hAnsi="Times New Roman"/>
                <w:sz w:val="22"/>
                <w:szCs w:val="22"/>
                <w:color w:val="0000FF"/>
                <w:w w:val="95"/>
              </w:rPr>
              <w:t>2030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FECAF4"/>
            </w:tcBorders>
            <w:shd w:val="clear" w:color="auto" w:fill="FECAF4"/>
          </w:tcPr>
          <w:p>
            <w:pPr>
              <w:spacing w:after="0"/>
              <w:rPr>
                <w:sz w:val="19"/>
                <w:szCs w:val="19"/>
                <w:color w:val="auto"/>
              </w:rPr>
            </w:pPr>
          </w:p>
        </w:tc>
        <w:tc>
          <w:tcPr>
            <w:tcW w:w="420" w:type="dxa"/>
            <w:vAlign w:val="bottom"/>
            <w:tcBorders>
              <w:bottom w:val="single" w:sz="8" w:color="FECAF4"/>
            </w:tcBorders>
            <w:shd w:val="clear" w:color="auto" w:fill="FECAF4"/>
          </w:tcPr>
          <w:p>
            <w:pPr>
              <w:spacing w:after="0"/>
              <w:rPr>
                <w:sz w:val="19"/>
                <w:szCs w:val="19"/>
                <w:color w:val="auto"/>
              </w:rPr>
            </w:pPr>
          </w:p>
        </w:tc>
        <w:tc>
          <w:tcPr>
            <w:tcW w:w="160" w:type="dxa"/>
            <w:vAlign w:val="bottom"/>
            <w:tcBorders>
              <w:bottom w:val="single" w:sz="8" w:color="FECAF4"/>
            </w:tcBorders>
            <w:shd w:val="clear" w:color="auto" w:fill="FECAF4"/>
          </w:tcPr>
          <w:p>
            <w:pPr>
              <w:spacing w:after="0"/>
              <w:rPr>
                <w:sz w:val="19"/>
                <w:szCs w:val="19"/>
                <w:color w:val="auto"/>
              </w:rPr>
            </w:pPr>
          </w:p>
        </w:tc>
        <w:tc>
          <w:tcPr>
            <w:tcW w:w="980" w:type="dxa"/>
            <w:vAlign w:val="bottom"/>
            <w:tcBorders>
              <w:bottom w:val="single" w:sz="8" w:color="FECAF4"/>
            </w:tcBorders>
            <w:shd w:val="clear" w:color="auto" w:fill="FECAF4"/>
          </w:tcPr>
          <w:p>
            <w:pPr>
              <w:spacing w:after="0"/>
              <w:rPr>
                <w:sz w:val="19"/>
                <w:szCs w:val="19"/>
                <w:color w:val="auto"/>
              </w:rPr>
            </w:pPr>
          </w:p>
        </w:tc>
        <w:tc>
          <w:tcPr>
            <w:tcW w:w="580" w:type="dxa"/>
            <w:vAlign w:val="bottom"/>
            <w:tcBorders>
              <w:bottom w:val="single" w:sz="8" w:color="FECAF4"/>
            </w:tcBorders>
            <w:shd w:val="clear" w:color="auto" w:fill="FECAF4"/>
          </w:tcPr>
          <w:p>
            <w:pPr>
              <w:spacing w:after="0"/>
              <w:rPr>
                <w:sz w:val="19"/>
                <w:szCs w:val="19"/>
                <w:color w:val="auto"/>
              </w:rPr>
            </w:pPr>
          </w:p>
        </w:tc>
        <w:tc>
          <w:tcPr>
            <w:tcW w:w="280" w:type="dxa"/>
            <w:vAlign w:val="bottom"/>
            <w:tcBorders>
              <w:bottom w:val="single" w:sz="8" w:color="FECAF4"/>
            </w:tcBorders>
            <w:shd w:val="clear" w:color="auto" w:fill="FECAF4"/>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FECAF4"/>
            </w:tcBorders>
            <w:shd w:val="clear" w:color="auto" w:fill="FECAF4"/>
          </w:tcPr>
          <w:p>
            <w:pPr>
              <w:spacing w:after="0"/>
              <w:rPr>
                <w:sz w:val="19"/>
                <w:szCs w:val="19"/>
                <w:color w:val="auto"/>
              </w:rPr>
            </w:pPr>
          </w:p>
        </w:tc>
        <w:tc>
          <w:tcPr>
            <w:tcW w:w="160" w:type="dxa"/>
            <w:vAlign w:val="bottom"/>
            <w:tcBorders>
              <w:bottom w:val="single" w:sz="8" w:color="FECAF4"/>
            </w:tcBorders>
            <w:shd w:val="clear" w:color="auto" w:fill="FECAF4"/>
          </w:tcPr>
          <w:p>
            <w:pPr>
              <w:spacing w:after="0"/>
              <w:rPr>
                <w:sz w:val="19"/>
                <w:szCs w:val="19"/>
                <w:color w:val="auto"/>
              </w:rPr>
            </w:pPr>
          </w:p>
        </w:tc>
        <w:tc>
          <w:tcPr>
            <w:tcW w:w="260" w:type="dxa"/>
            <w:vAlign w:val="bottom"/>
            <w:tcBorders>
              <w:bottom w:val="single" w:sz="8" w:color="FECAF4"/>
            </w:tcBorders>
            <w:shd w:val="clear" w:color="auto" w:fill="FECAF4"/>
          </w:tcPr>
          <w:p>
            <w:pPr>
              <w:spacing w:after="0"/>
              <w:rPr>
                <w:sz w:val="19"/>
                <w:szCs w:val="19"/>
                <w:color w:val="auto"/>
              </w:rPr>
            </w:pPr>
          </w:p>
        </w:tc>
        <w:tc>
          <w:tcPr>
            <w:tcW w:w="320" w:type="dxa"/>
            <w:vAlign w:val="bottom"/>
            <w:tcBorders>
              <w:bottom w:val="single" w:sz="8" w:color="FECAF4"/>
            </w:tcBorders>
            <w:shd w:val="clear" w:color="auto" w:fill="FECAF4"/>
          </w:tcPr>
          <w:p>
            <w:pPr>
              <w:spacing w:after="0"/>
              <w:rPr>
                <w:sz w:val="19"/>
                <w:szCs w:val="19"/>
                <w:color w:val="auto"/>
              </w:rPr>
            </w:pPr>
          </w:p>
        </w:tc>
        <w:tc>
          <w:tcPr>
            <w:tcW w:w="940" w:type="dxa"/>
            <w:vAlign w:val="bottom"/>
            <w:tcBorders>
              <w:bottom w:val="single" w:sz="8" w:color="FECAF4"/>
            </w:tcBorders>
            <w:shd w:val="clear" w:color="auto" w:fill="FECAF4"/>
          </w:tcPr>
          <w:p>
            <w:pPr>
              <w:spacing w:after="0"/>
              <w:rPr>
                <w:sz w:val="19"/>
                <w:szCs w:val="19"/>
                <w:color w:val="auto"/>
              </w:rPr>
            </w:pPr>
          </w:p>
        </w:tc>
        <w:tc>
          <w:tcPr>
            <w:tcW w:w="40" w:type="dxa"/>
            <w:vAlign w:val="bottom"/>
            <w:tcBorders>
              <w:bottom w:val="single" w:sz="8" w:color="FECAF4"/>
            </w:tcBorders>
            <w:shd w:val="clear" w:color="auto" w:fill="FECAF4"/>
          </w:tcPr>
          <w:p>
            <w:pPr>
              <w:spacing w:after="0"/>
              <w:rPr>
                <w:sz w:val="19"/>
                <w:szCs w:val="19"/>
                <w:color w:val="auto"/>
              </w:rPr>
            </w:pPr>
          </w:p>
        </w:tc>
        <w:tc>
          <w:tcPr>
            <w:tcW w:w="920" w:type="dxa"/>
            <w:vAlign w:val="bottom"/>
            <w:tcBorders>
              <w:bottom w:val="single" w:sz="8" w:color="FECAF4"/>
            </w:tcBorders>
            <w:shd w:val="clear" w:color="auto" w:fill="FECAF4"/>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500" w:type="dxa"/>
            <w:vAlign w:val="bottom"/>
            <w:tcBorders>
              <w:bottom w:val="single" w:sz="8" w:color="0000FF"/>
            </w:tcBorders>
            <w:gridSpan w:val="12"/>
          </w:tcPr>
          <w:p>
            <w:pPr>
              <w:spacing w:after="0" w:line="250" w:lineRule="exact"/>
              <w:rPr>
                <w:sz w:val="20"/>
                <w:szCs w:val="20"/>
                <w:color w:val="auto"/>
              </w:rPr>
            </w:pPr>
            <w:r>
              <w:rPr>
                <w:rFonts w:ascii="Times New Roman" w:cs="Times New Roman" w:eastAsia="Times New Roman" w:hAnsi="Times New Roman"/>
                <w:sz w:val="22"/>
                <w:szCs w:val="22"/>
                <w:color w:val="0000FF"/>
                <w:w w:val="96"/>
              </w:rPr>
              <w:t>October 29, 2030</w:t>
            </w:r>
          </w:p>
        </w:tc>
        <w:tc>
          <w:tcPr>
            <w:tcW w:w="420" w:type="dxa"/>
            <w:vAlign w:val="bottom"/>
            <w:gridSpan w:val="4"/>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bottom w:val="single" w:sz="8" w:color="FECAF4"/>
            </w:tcBorders>
            <w:shd w:val="clear" w:color="auto" w:fill="FECAF4"/>
          </w:tcPr>
          <w:p>
            <w:pPr>
              <w:spacing w:after="0"/>
              <w:rPr>
                <w:sz w:val="22"/>
                <w:szCs w:val="22"/>
                <w:color w:val="auto"/>
              </w:rPr>
            </w:pPr>
          </w:p>
        </w:tc>
        <w:tc>
          <w:tcPr>
            <w:tcW w:w="420" w:type="dxa"/>
            <w:vAlign w:val="bottom"/>
            <w:tcBorders>
              <w:bottom w:val="single" w:sz="8" w:color="FECAF4"/>
            </w:tcBorders>
            <w:shd w:val="clear" w:color="auto" w:fill="FECAF4"/>
          </w:tcPr>
          <w:p>
            <w:pPr>
              <w:spacing w:after="0"/>
              <w:rPr>
                <w:sz w:val="22"/>
                <w:szCs w:val="22"/>
                <w:color w:val="auto"/>
              </w:rPr>
            </w:pPr>
          </w:p>
        </w:tc>
        <w:tc>
          <w:tcPr>
            <w:tcW w:w="160" w:type="dxa"/>
            <w:vAlign w:val="bottom"/>
            <w:tcBorders>
              <w:bottom w:val="single" w:sz="8" w:color="FECAF4"/>
            </w:tcBorders>
            <w:shd w:val="clear" w:color="auto" w:fill="FECAF4"/>
          </w:tcPr>
          <w:p>
            <w:pPr>
              <w:spacing w:after="0"/>
              <w:rPr>
                <w:sz w:val="22"/>
                <w:szCs w:val="22"/>
                <w:color w:val="auto"/>
              </w:rPr>
            </w:pPr>
          </w:p>
        </w:tc>
        <w:tc>
          <w:tcPr>
            <w:tcW w:w="980" w:type="dxa"/>
            <w:vAlign w:val="bottom"/>
            <w:tcBorders>
              <w:bottom w:val="single" w:sz="8" w:color="FECAF4"/>
            </w:tcBorders>
            <w:shd w:val="clear" w:color="auto" w:fill="FECAF4"/>
          </w:tcPr>
          <w:p>
            <w:pPr>
              <w:spacing w:after="0"/>
              <w:rPr>
                <w:sz w:val="22"/>
                <w:szCs w:val="22"/>
                <w:color w:val="auto"/>
              </w:rPr>
            </w:pPr>
          </w:p>
        </w:tc>
        <w:tc>
          <w:tcPr>
            <w:tcW w:w="580" w:type="dxa"/>
            <w:vAlign w:val="bottom"/>
            <w:tcBorders>
              <w:bottom w:val="single" w:sz="8" w:color="FECAF4"/>
            </w:tcBorders>
            <w:shd w:val="clear" w:color="auto" w:fill="FECAF4"/>
          </w:tcPr>
          <w:p>
            <w:pPr>
              <w:spacing w:after="0"/>
              <w:rPr>
                <w:sz w:val="22"/>
                <w:szCs w:val="22"/>
                <w:color w:val="auto"/>
              </w:rPr>
            </w:pPr>
          </w:p>
        </w:tc>
        <w:tc>
          <w:tcPr>
            <w:tcW w:w="280" w:type="dxa"/>
            <w:vAlign w:val="bottom"/>
            <w:tcBorders>
              <w:bottom w:val="single" w:sz="8" w:color="FECAF4"/>
            </w:tcBorders>
            <w:shd w:val="clear" w:color="auto" w:fill="FECAF4"/>
          </w:tcPr>
          <w:p>
            <w:pPr>
              <w:spacing w:after="0"/>
              <w:rPr>
                <w:sz w:val="22"/>
                <w:szCs w:val="22"/>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FF0000"/>
                <w:strike w:val="1"/>
              </w:rPr>
              <w:t>Total:</w:t>
            </w:r>
          </w:p>
        </w:tc>
        <w:tc>
          <w:tcPr>
            <w:tcW w:w="2780" w:type="dxa"/>
            <w:vAlign w:val="bottom"/>
            <w:gridSpan w:val="15"/>
          </w:tcPr>
          <w:p>
            <w:pPr>
              <w:spacing w:after="0"/>
              <w:rPr>
                <w:sz w:val="20"/>
                <w:szCs w:val="20"/>
                <w:color w:val="auto"/>
              </w:rPr>
            </w:pPr>
            <w:r>
              <w:rPr>
                <w:rFonts w:ascii="Times New Roman" w:cs="Times New Roman" w:eastAsia="Times New Roman" w:hAnsi="Times New Roman"/>
                <w:sz w:val="22"/>
                <w:szCs w:val="22"/>
                <w:color w:val="0000FF"/>
              </w:rPr>
              <w:t>Outstanding Principal Amount</w:t>
            </w:r>
          </w:p>
        </w:tc>
        <w:tc>
          <w:tcPr>
            <w:tcW w:w="900" w:type="dxa"/>
            <w:vAlign w:val="bottom"/>
            <w:tcBorders>
              <w:bottom w:val="single" w:sz="8" w:color="FECAF4"/>
            </w:tcBorders>
            <w:gridSpan w:val="4"/>
            <w:shd w:val="clear" w:color="auto" w:fill="FECAF4"/>
          </w:tcPr>
          <w:p>
            <w:pPr>
              <w:spacing w:after="0"/>
              <w:rPr>
                <w:sz w:val="22"/>
                <w:szCs w:val="22"/>
                <w:color w:val="auto"/>
              </w:rPr>
            </w:pPr>
          </w:p>
        </w:tc>
        <w:tc>
          <w:tcPr>
            <w:tcW w:w="940" w:type="dxa"/>
            <w:vAlign w:val="bottom"/>
            <w:tcBorders>
              <w:bottom w:val="single" w:sz="8" w:color="FECAF4"/>
            </w:tcBorders>
            <w:shd w:val="clear" w:color="auto" w:fill="FECAF4"/>
          </w:tcPr>
          <w:p>
            <w:pPr>
              <w:jc w:val="center"/>
              <w:spacing w:after="0"/>
              <w:rPr>
                <w:sz w:val="20"/>
                <w:szCs w:val="20"/>
                <w:color w:val="auto"/>
              </w:rPr>
            </w:pPr>
            <w:r>
              <w:rPr>
                <w:rFonts w:ascii="Times New Roman" w:cs="Times New Roman" w:eastAsia="Times New Roman" w:hAnsi="Times New Roman"/>
                <w:sz w:val="22"/>
                <w:szCs w:val="22"/>
                <w:color w:val="FF0000"/>
                <w:strike w:val="1"/>
                <w:w w:val="97"/>
              </w:rPr>
              <w:t>100%</w:t>
            </w:r>
          </w:p>
        </w:tc>
        <w:tc>
          <w:tcPr>
            <w:tcW w:w="40" w:type="dxa"/>
            <w:vAlign w:val="bottom"/>
            <w:tcBorders>
              <w:bottom w:val="single" w:sz="8" w:color="FECAF4"/>
            </w:tcBorders>
            <w:shd w:val="clear" w:color="auto" w:fill="FECAF4"/>
          </w:tcPr>
          <w:p>
            <w:pPr>
              <w:spacing w:after="0"/>
              <w:rPr>
                <w:sz w:val="22"/>
                <w:szCs w:val="22"/>
                <w:color w:val="auto"/>
              </w:rPr>
            </w:pPr>
          </w:p>
        </w:tc>
        <w:tc>
          <w:tcPr>
            <w:tcW w:w="920" w:type="dxa"/>
            <w:vAlign w:val="bottom"/>
            <w:tcBorders>
              <w:bottom w:val="single" w:sz="8" w:color="FECAF4"/>
            </w:tcBorders>
            <w:shd w:val="clear" w:color="auto" w:fill="FECA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FECAF4"/>
            </w:tcBorders>
            <w:shd w:val="clear" w:color="auto" w:fill="FECAF4"/>
          </w:tcPr>
          <w:p>
            <w:pPr>
              <w:spacing w:after="0" w:line="20" w:lineRule="exact"/>
              <w:rPr>
                <w:sz w:val="1"/>
                <w:szCs w:val="1"/>
                <w:color w:val="auto"/>
              </w:rPr>
            </w:pPr>
          </w:p>
        </w:tc>
        <w:tc>
          <w:tcPr>
            <w:tcW w:w="420" w:type="dxa"/>
            <w:vAlign w:val="bottom"/>
            <w:tcBorders>
              <w:bottom w:val="single" w:sz="8" w:color="FECAF4"/>
            </w:tcBorders>
            <w:shd w:val="clear" w:color="auto" w:fill="FECAF4"/>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980" w:type="dxa"/>
            <w:vAlign w:val="bottom"/>
            <w:tcBorders>
              <w:bottom w:val="single" w:sz="8" w:color="FECAF4"/>
            </w:tcBorders>
            <w:shd w:val="clear" w:color="auto" w:fill="FECAF4"/>
          </w:tcPr>
          <w:p>
            <w:pPr>
              <w:spacing w:after="0" w:line="20" w:lineRule="exact"/>
              <w:rPr>
                <w:sz w:val="1"/>
                <w:szCs w:val="1"/>
                <w:color w:val="auto"/>
              </w:rPr>
            </w:pPr>
          </w:p>
        </w:tc>
        <w:tc>
          <w:tcPr>
            <w:tcW w:w="580" w:type="dxa"/>
            <w:vAlign w:val="bottom"/>
            <w:tcBorders>
              <w:bottom w:val="single" w:sz="8" w:color="FECAF4"/>
            </w:tcBorders>
            <w:shd w:val="clear" w:color="auto" w:fill="FECAF4"/>
          </w:tcPr>
          <w:p>
            <w:pPr>
              <w:spacing w:after="0" w:line="20" w:lineRule="exact"/>
              <w:rPr>
                <w:sz w:val="1"/>
                <w:szCs w:val="1"/>
                <w:color w:val="auto"/>
              </w:rPr>
            </w:pPr>
          </w:p>
        </w:tc>
        <w:tc>
          <w:tcPr>
            <w:tcW w:w="280" w:type="dxa"/>
            <w:vAlign w:val="bottom"/>
            <w:tcBorders>
              <w:bottom w:val="single" w:sz="8" w:color="FECAF4"/>
            </w:tcBorders>
            <w:shd w:val="clear" w:color="auto" w:fill="FECA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160" w:type="dxa"/>
            <w:vAlign w:val="bottom"/>
            <w:tcBorders>
              <w:bottom w:val="single" w:sz="8" w:color="FECAF4"/>
            </w:tcBorders>
            <w:shd w:val="clear" w:color="auto" w:fill="FECAF4"/>
          </w:tcPr>
          <w:p>
            <w:pPr>
              <w:spacing w:after="0" w:line="20" w:lineRule="exact"/>
              <w:rPr>
                <w:sz w:val="1"/>
                <w:szCs w:val="1"/>
                <w:color w:val="auto"/>
              </w:rPr>
            </w:pPr>
          </w:p>
        </w:tc>
        <w:tc>
          <w:tcPr>
            <w:tcW w:w="260" w:type="dxa"/>
            <w:vAlign w:val="bottom"/>
            <w:tcBorders>
              <w:bottom w:val="single" w:sz="8" w:color="FECAF4"/>
            </w:tcBorders>
            <w:shd w:val="clear" w:color="auto" w:fill="FECAF4"/>
          </w:tcPr>
          <w:p>
            <w:pPr>
              <w:spacing w:after="0" w:line="20" w:lineRule="exact"/>
              <w:rPr>
                <w:sz w:val="1"/>
                <w:szCs w:val="1"/>
                <w:color w:val="auto"/>
              </w:rPr>
            </w:pPr>
          </w:p>
        </w:tc>
        <w:tc>
          <w:tcPr>
            <w:tcW w:w="320" w:type="dxa"/>
            <w:vAlign w:val="bottom"/>
            <w:tcBorders>
              <w:bottom w:val="single" w:sz="8" w:color="FECAF4"/>
            </w:tcBorders>
            <w:shd w:val="clear" w:color="auto" w:fill="FECAF4"/>
          </w:tcPr>
          <w:p>
            <w:pPr>
              <w:spacing w:after="0" w:line="20" w:lineRule="exact"/>
              <w:rPr>
                <w:sz w:val="1"/>
                <w:szCs w:val="1"/>
                <w:color w:val="auto"/>
              </w:rPr>
            </w:pPr>
          </w:p>
        </w:tc>
        <w:tc>
          <w:tcPr>
            <w:tcW w:w="940" w:type="dxa"/>
            <w:vAlign w:val="bottom"/>
            <w:tcBorders>
              <w:bottom w:val="single" w:sz="8" w:color="FECAF4"/>
            </w:tcBorders>
            <w:shd w:val="clear" w:color="auto" w:fill="FECAF4"/>
          </w:tcPr>
          <w:p>
            <w:pPr>
              <w:spacing w:after="0" w:line="20" w:lineRule="exact"/>
              <w:rPr>
                <w:sz w:val="1"/>
                <w:szCs w:val="1"/>
                <w:color w:val="auto"/>
              </w:rPr>
            </w:pPr>
          </w:p>
        </w:tc>
        <w:tc>
          <w:tcPr>
            <w:tcW w:w="40" w:type="dxa"/>
            <w:vAlign w:val="bottom"/>
            <w:tcBorders>
              <w:bottom w:val="single" w:sz="8" w:color="FECAF4"/>
            </w:tcBorders>
            <w:shd w:val="clear" w:color="auto" w:fill="FECAF4"/>
          </w:tcPr>
          <w:p>
            <w:pPr>
              <w:spacing w:after="0" w:line="20" w:lineRule="exact"/>
              <w:rPr>
                <w:sz w:val="1"/>
                <w:szCs w:val="1"/>
                <w:color w:val="auto"/>
              </w:rPr>
            </w:pPr>
          </w:p>
        </w:tc>
        <w:tc>
          <w:tcPr>
            <w:tcW w:w="920" w:type="dxa"/>
            <w:vAlign w:val="bottom"/>
            <w:tcBorders>
              <w:bottom w:val="single" w:sz="8" w:color="FECAF4"/>
            </w:tcBorders>
            <w:shd w:val="clear" w:color="auto" w:fill="FECA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shd w:val="clear" w:color="auto" w:fill="FECAF4"/>
          </w:tcPr>
          <w:p>
            <w:pPr>
              <w:spacing w:after="0"/>
              <w:rPr>
                <w:sz w:val="3"/>
                <w:szCs w:val="3"/>
                <w:color w:val="auto"/>
              </w:rPr>
            </w:pPr>
          </w:p>
        </w:tc>
        <w:tc>
          <w:tcPr>
            <w:tcW w:w="420" w:type="dxa"/>
            <w:vAlign w:val="bottom"/>
            <w:shd w:val="clear" w:color="auto" w:fill="FECAF4"/>
          </w:tcPr>
          <w:p>
            <w:pPr>
              <w:spacing w:after="0"/>
              <w:rPr>
                <w:sz w:val="3"/>
                <w:szCs w:val="3"/>
                <w:color w:val="auto"/>
              </w:rPr>
            </w:pPr>
          </w:p>
        </w:tc>
        <w:tc>
          <w:tcPr>
            <w:tcW w:w="160" w:type="dxa"/>
            <w:vAlign w:val="bottom"/>
            <w:shd w:val="clear" w:color="auto" w:fill="FECAF4"/>
          </w:tcPr>
          <w:p>
            <w:pPr>
              <w:spacing w:after="0"/>
              <w:rPr>
                <w:sz w:val="3"/>
                <w:szCs w:val="3"/>
                <w:color w:val="auto"/>
              </w:rPr>
            </w:pPr>
          </w:p>
        </w:tc>
        <w:tc>
          <w:tcPr>
            <w:tcW w:w="980" w:type="dxa"/>
            <w:vAlign w:val="bottom"/>
            <w:shd w:val="clear" w:color="auto" w:fill="FECAF4"/>
          </w:tcPr>
          <w:p>
            <w:pPr>
              <w:spacing w:after="0"/>
              <w:rPr>
                <w:sz w:val="3"/>
                <w:szCs w:val="3"/>
                <w:color w:val="auto"/>
              </w:rPr>
            </w:pPr>
          </w:p>
        </w:tc>
        <w:tc>
          <w:tcPr>
            <w:tcW w:w="580" w:type="dxa"/>
            <w:vAlign w:val="bottom"/>
            <w:shd w:val="clear" w:color="auto" w:fill="FECAF4"/>
          </w:tcPr>
          <w:p>
            <w:pPr>
              <w:spacing w:after="0"/>
              <w:rPr>
                <w:sz w:val="3"/>
                <w:szCs w:val="3"/>
                <w:color w:val="auto"/>
              </w:rPr>
            </w:pPr>
          </w:p>
        </w:tc>
        <w:tc>
          <w:tcPr>
            <w:tcW w:w="280" w:type="dxa"/>
            <w:vAlign w:val="bottom"/>
            <w:shd w:val="clear" w:color="auto" w:fill="FECAF4"/>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shd w:val="clear" w:color="auto" w:fill="FECAF4"/>
          </w:tcPr>
          <w:p>
            <w:pPr>
              <w:spacing w:after="0"/>
              <w:rPr>
                <w:sz w:val="3"/>
                <w:szCs w:val="3"/>
                <w:color w:val="auto"/>
              </w:rPr>
            </w:pPr>
          </w:p>
        </w:tc>
        <w:tc>
          <w:tcPr>
            <w:tcW w:w="160" w:type="dxa"/>
            <w:vAlign w:val="bottom"/>
            <w:shd w:val="clear" w:color="auto" w:fill="FECAF4"/>
          </w:tcPr>
          <w:p>
            <w:pPr>
              <w:spacing w:after="0"/>
              <w:rPr>
                <w:sz w:val="3"/>
                <w:szCs w:val="3"/>
                <w:color w:val="auto"/>
              </w:rPr>
            </w:pPr>
          </w:p>
        </w:tc>
        <w:tc>
          <w:tcPr>
            <w:tcW w:w="260" w:type="dxa"/>
            <w:vAlign w:val="bottom"/>
            <w:shd w:val="clear" w:color="auto" w:fill="FECAF4"/>
          </w:tcPr>
          <w:p>
            <w:pPr>
              <w:spacing w:after="0"/>
              <w:rPr>
                <w:sz w:val="3"/>
                <w:szCs w:val="3"/>
                <w:color w:val="auto"/>
              </w:rPr>
            </w:pPr>
          </w:p>
        </w:tc>
        <w:tc>
          <w:tcPr>
            <w:tcW w:w="320" w:type="dxa"/>
            <w:vAlign w:val="bottom"/>
            <w:shd w:val="clear" w:color="auto" w:fill="FECAF4"/>
          </w:tcPr>
          <w:p>
            <w:pPr>
              <w:spacing w:after="0"/>
              <w:rPr>
                <w:sz w:val="3"/>
                <w:szCs w:val="3"/>
                <w:color w:val="auto"/>
              </w:rPr>
            </w:pPr>
          </w:p>
        </w:tc>
        <w:tc>
          <w:tcPr>
            <w:tcW w:w="940" w:type="dxa"/>
            <w:vAlign w:val="bottom"/>
            <w:shd w:val="clear" w:color="auto" w:fill="FECAF4"/>
          </w:tcPr>
          <w:p>
            <w:pPr>
              <w:spacing w:after="0"/>
              <w:rPr>
                <w:sz w:val="3"/>
                <w:szCs w:val="3"/>
                <w:color w:val="auto"/>
              </w:rPr>
            </w:pPr>
          </w:p>
        </w:tc>
        <w:tc>
          <w:tcPr>
            <w:tcW w:w="40" w:type="dxa"/>
            <w:vAlign w:val="bottom"/>
            <w:shd w:val="clear" w:color="auto" w:fill="FECAF4"/>
          </w:tcPr>
          <w:p>
            <w:pPr>
              <w:spacing w:after="0"/>
              <w:rPr>
                <w:sz w:val="3"/>
                <w:szCs w:val="3"/>
                <w:color w:val="auto"/>
              </w:rPr>
            </w:pPr>
          </w:p>
        </w:tc>
        <w:tc>
          <w:tcPr>
            <w:tcW w:w="920" w:type="dxa"/>
            <w:vAlign w:val="bottom"/>
            <w:shd w:val="clear" w:color="auto" w:fill="FECAF4"/>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final principal repayment installment of the Extended Term A Loans shall be repaid on the Maturity Date for the Extended Term A Facility and in any event shall be in an amount equal to the aggregate principal amount of all Extended Term A Loans outstanding on such date;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with the prior written consent of the Extended Term A Lenders holding at least 10% of the outstanding Extended Term A Loans, such consenting Extended Term A Lenders can extend the amortization schedule and the maturity of their Extended Term A Loans as agreed upon among such consenting Extended Term A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98" w:right="339" w:bottom="1440" w:gutter="0" w:footer="0" w:header="0"/>
        </w:sectPr>
      </w:pPr>
    </w:p>
    <w:bookmarkStart w:id="111" w:name="page112"/>
    <w:bookmarkEnd w:id="11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Company (with the new amortization schedule and Maturity Date thereafter applying to such Extended Term A Loans), and the Borrower may pay additional interest or an extension fee to, and as agreed with, such consenting Extended Term A Lenders with respect to such extension, without having any obligation to make any additional payments with respect to such extension to non-consenting Extended Term A Lenders (and the pro rata payment provisions of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shall automatically be deemed adjusted to reflect the provisions of this Section).</w:t>
      </w:r>
    </w:p>
    <w:p>
      <w:pPr>
        <w:spacing w:after="0" w:line="194" w:lineRule="exact"/>
        <w:rPr>
          <w:sz w:val="20"/>
          <w:szCs w:val="20"/>
          <w:color w:val="auto"/>
        </w:rPr>
      </w:pPr>
    </w:p>
    <w:p>
      <w:pPr>
        <w:jc w:val="both"/>
        <w:ind w:firstLine="1304"/>
        <w:spacing w:after="0" w:line="260" w:lineRule="auto"/>
        <w:tabs>
          <w:tab w:leader="none" w:pos="1872"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Revolving Credit Loans</w:t>
      </w:r>
      <w:r>
        <w:rPr>
          <w:rFonts w:ascii="Times New Roman" w:cs="Times New Roman" w:eastAsia="Times New Roman" w:hAnsi="Times New Roman"/>
          <w:sz w:val="21"/>
          <w:szCs w:val="21"/>
          <w:color w:val="auto"/>
        </w:rPr>
        <w:t xml:space="preserve">. The Borrower shall repay to the Revolving Credit Lenders </w:t>
      </w:r>
      <w:r>
        <w:rPr>
          <w:rFonts w:ascii="Times New Roman" w:cs="Times New Roman" w:eastAsia="Times New Roman" w:hAnsi="Times New Roman"/>
          <w:sz w:val="21"/>
          <w:szCs w:val="21"/>
          <w:u w:val="single" w:color="auto"/>
          <w:color w:val="0000FF"/>
        </w:rPr>
        <w:t>with respect to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Revolving Credit Facility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on the Maturity Date for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u w:val="single" w:color="auto"/>
          <w:color w:val="0000FF"/>
        </w:rPr>
        <w:t>such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Revolving Credit Facility the aggregate principal amount of all</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Revolving Credit Loans outstanding </w:t>
      </w:r>
      <w:r>
        <w:rPr>
          <w:rFonts w:ascii="Times New Roman" w:cs="Times New Roman" w:eastAsia="Times New Roman" w:hAnsi="Times New Roman"/>
          <w:sz w:val="21"/>
          <w:szCs w:val="21"/>
          <w:u w:val="single" w:color="auto"/>
          <w:color w:val="0000FF"/>
        </w:rPr>
        <w:t>under such Revolving Credit Facility</w:t>
      </w:r>
      <w:r>
        <w:rPr>
          <w:rFonts w:ascii="Times New Roman" w:cs="Times New Roman" w:eastAsia="Times New Roman" w:hAnsi="Times New Roman"/>
          <w:sz w:val="21"/>
          <w:szCs w:val="21"/>
          <w:color w:val="000000"/>
        </w:rPr>
        <w:t xml:space="preserve"> on such date. All L/C Borrowings and Swingline Loans then outstanding </w:t>
      </w:r>
      <w:r>
        <w:rPr>
          <w:rFonts w:ascii="Times New Roman" w:cs="Times New Roman" w:eastAsia="Times New Roman" w:hAnsi="Times New Roman"/>
          <w:sz w:val="21"/>
          <w:szCs w:val="21"/>
          <w:u w:val="single" w:color="auto"/>
          <w:color w:val="0000FF"/>
        </w:rPr>
        <w:t>under such Revolving Credit Facility</w:t>
      </w:r>
      <w:r>
        <w:rPr>
          <w:rFonts w:ascii="Times New Roman" w:cs="Times New Roman" w:eastAsia="Times New Roman" w:hAnsi="Times New Roman"/>
          <w:sz w:val="21"/>
          <w:szCs w:val="21"/>
          <w:color w:val="000000"/>
        </w:rPr>
        <w:t xml:space="preserve"> shall be due and payable on the Maturity Date for </w:t>
      </w: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u w:val="single" w:color="auto"/>
          <w:color w:val="0000FF"/>
        </w:rPr>
        <w:t>such</w:t>
      </w:r>
      <w:r>
        <w:rPr>
          <w:rFonts w:ascii="Times New Roman" w:cs="Times New Roman" w:eastAsia="Times New Roman" w:hAnsi="Times New Roman"/>
          <w:sz w:val="21"/>
          <w:szCs w:val="21"/>
          <w:color w:val="000000"/>
        </w:rPr>
        <w:t xml:space="preserve"> Revolving Credit Facility;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with the prior written consent of the Revolving Credit Lenders holding at least 10% of the sum of (i) the Total Revolving Credit Outstandings </w:t>
      </w:r>
      <w:r>
        <w:rPr>
          <w:rFonts w:ascii="Times New Roman" w:cs="Times New Roman" w:eastAsia="Times New Roman" w:hAnsi="Times New Roman"/>
          <w:sz w:val="21"/>
          <w:szCs w:val="21"/>
          <w:u w:val="single" w:color="auto"/>
          <w:color w:val="0000FF"/>
        </w:rPr>
        <w:t>under all Revolving Credit Facilities</w:t>
      </w:r>
      <w:r>
        <w:rPr>
          <w:rFonts w:ascii="Times New Roman" w:cs="Times New Roman" w:eastAsia="Times New Roman" w:hAnsi="Times New Roman"/>
          <w:sz w:val="21"/>
          <w:szCs w:val="21"/>
          <w:color w:val="000000"/>
        </w:rPr>
        <w:t xml:space="preserve"> (with the aggregate amount of each Revolving Credit Lender’s risk participation and funded participation in L/C Obligations being deemed “held” by such Revolving Credit Lender for purposes of this definition) and (ii) the aggregate unused Revolving Credit Commitments, such consenting Revolving Credit Lenders may extend the maturity of their Revolving Credit Commitments and Revolving Credit Loans as agreed upon among such consenting Revolving Credit Lenders and the Company (with such new Maturity Date thereafter applying to such Revolving Credit Commitments and Revolving Credit Loans), and the Borrower may pay an extension fee to, and as agreed with, such Revolving Credit Lenders with respect to such extension without having any obligation to make any additional payments with respect to such extension to non-consenting Revolving Credit Lenders, (and the pro rata payment provisions of </w:t>
      </w:r>
      <w:r>
        <w:rPr>
          <w:rFonts w:ascii="Times New Roman" w:cs="Times New Roman" w:eastAsia="Times New Roman" w:hAnsi="Times New Roman"/>
          <w:sz w:val="21"/>
          <w:szCs w:val="21"/>
          <w:u w:val="single" w:color="auto"/>
          <w:color w:val="000000"/>
        </w:rPr>
        <w:t>Section 2.12</w:t>
      </w:r>
      <w:r>
        <w:rPr>
          <w:rFonts w:ascii="Times New Roman" w:cs="Times New Roman" w:eastAsia="Times New Roman" w:hAnsi="Times New Roman"/>
          <w:sz w:val="21"/>
          <w:szCs w:val="21"/>
          <w:color w:val="000000"/>
        </w:rPr>
        <w:t xml:space="preserve"> shall automatically be deemed adjusted to reflect the provisions of this Section).</w:t>
      </w:r>
    </w:p>
    <w:p>
      <w:pPr>
        <w:spacing w:after="0" w:line="172" w:lineRule="exact"/>
        <w:rPr>
          <w:sz w:val="20"/>
          <w:szCs w:val="20"/>
          <w:color w:val="auto"/>
        </w:rPr>
      </w:pPr>
    </w:p>
    <w:p>
      <w:pPr>
        <w:jc w:val="both"/>
        <w:ind w:firstLine="1304"/>
        <w:spacing w:after="0" w:line="263" w:lineRule="auto"/>
        <w:tabs>
          <w:tab w:leader="none" w:pos="16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Any unpaid principal and interest of the Incremental Term Loans and any other outstanding Obligations under any of the Incremental Term Commitments shall be due and payable on the dates set forth in the applicable Incremental Term Supplement.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2.07 </w:t>
      </w:r>
      <w:r>
        <w:rPr>
          <w:rFonts w:ascii="Times New Roman" w:cs="Times New Roman" w:eastAsia="Times New Roman" w:hAnsi="Times New Roman"/>
          <w:sz w:val="22"/>
          <w:szCs w:val="22"/>
          <w:color w:val="000000"/>
        </w:rPr>
        <w:t>Interest. (h) Subject to the provisions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2.07(b)</w:t>
      </w:r>
      <w:r>
        <w:rPr>
          <w:rFonts w:ascii="Times New Roman" w:cs="Times New Roman" w:eastAsia="Times New Roman" w:hAnsi="Times New Roman"/>
          <w:sz w:val="22"/>
          <w:szCs w:val="22"/>
          <w:color w:val="000000"/>
        </w:rPr>
        <w:t>, (i) each SOFR Loan under a Facility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bear interest on the outstanding principal amount thereof for each Interest Period at a rate per annum equal to Adjusted Term SOFR for such Interest Period plus the Applicable Rate for such Facility; and (ii) each Base Rate Loan under a Facility shall bear interest on the outstanding principal amount thereof from the applicable borrowing date at a rate per annum equal to the Base Rate plus the Applicable Rate for such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-690245</wp:posOffset>
            </wp:positionV>
            <wp:extent cx="556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jc w:val="both"/>
        <w:ind w:firstLine="1304"/>
        <w:spacing w:after="0" w:line="245" w:lineRule="auto"/>
        <w:tabs>
          <w:tab w:leader="none" w:pos="1861"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7" w:lineRule="exact"/>
        <w:rPr>
          <w:sz w:val="20"/>
          <w:szCs w:val="20"/>
          <w:color w:val="auto"/>
        </w:rPr>
      </w:pPr>
    </w:p>
    <w:p>
      <w:pPr>
        <w:jc w:val="both"/>
        <w:ind w:left="660" w:firstLine="644"/>
        <w:spacing w:after="0" w:line="281" w:lineRule="auto"/>
        <w:tabs>
          <w:tab w:leader="none" w:pos="1817" w:val="left"/>
        </w:tabs>
        <w:numPr>
          <w:ilvl w:val="0"/>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any amount (other than principal of any Loan) payable by the Borrower under any Loan Document is not paid when due (without regard to any applicable grace periods), whether at stated maturity, by acceleration or otherwise, then upon the request of (x) in the case of any amount payable only to the Revolving Credit Lenders,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2" w:name="page113"/>
    <w:bookmarkEnd w:id="112"/>
    <w:p>
      <w:pPr>
        <w:jc w:val="both"/>
        <w:ind w:left="660" w:right="20"/>
        <w:spacing w:after="0" w:line="257" w:lineRule="auto"/>
        <w:rPr>
          <w:sz w:val="20"/>
          <w:szCs w:val="20"/>
          <w:color w:val="auto"/>
        </w:rPr>
      </w:pPr>
      <w:r>
        <w:rPr>
          <w:rFonts w:ascii="Times New Roman" w:cs="Times New Roman" w:eastAsia="Times New Roman" w:hAnsi="Times New Roman"/>
          <w:sz w:val="22"/>
          <w:szCs w:val="22"/>
          <w:color w:val="auto"/>
        </w:rPr>
        <w:t>Extended Term A Lenders and/or the Extended Term A Lenders, the Required Revolver/Term A Lenders and (y) in the case of any other amount, the Required Lenders, such amount shall thereafter bear interest at a fluctuating interest rate per annum at all times equal to the Default Rate to the fullest extent permitted by applicable Laws.</w:t>
      </w:r>
    </w:p>
    <w:p>
      <w:pPr>
        <w:spacing w:after="0" w:line="173" w:lineRule="exact"/>
        <w:rPr>
          <w:sz w:val="20"/>
          <w:szCs w:val="20"/>
          <w:color w:val="auto"/>
        </w:rPr>
      </w:pPr>
    </w:p>
    <w:p>
      <w:pPr>
        <w:ind w:left="660" w:right="20" w:firstLine="644"/>
        <w:spacing w:after="0" w:line="271" w:lineRule="auto"/>
        <w:tabs>
          <w:tab w:leader="none" w:pos="1887"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71" w:lineRule="exact"/>
        <w:rPr>
          <w:sz w:val="20"/>
          <w:szCs w:val="20"/>
          <w:color w:val="auto"/>
        </w:rPr>
      </w:pPr>
    </w:p>
    <w:p>
      <w:pPr>
        <w:jc w:val="both"/>
        <w:ind w:right="20" w:firstLine="1304"/>
        <w:spacing w:after="0" w:line="257" w:lineRule="auto"/>
        <w:tabs>
          <w:tab w:leader="none" w:pos="180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3" w:lineRule="exact"/>
        <w:rPr>
          <w:sz w:val="20"/>
          <w:szCs w:val="20"/>
          <w:color w:val="auto"/>
        </w:rPr>
      </w:pPr>
    </w:p>
    <w:p>
      <w:pPr>
        <w:ind w:left="1300"/>
        <w:spacing w:after="0"/>
        <w:tabs>
          <w:tab w:leader="none" w:pos="2660" w:val="left"/>
        </w:tabs>
        <w:rPr>
          <w:sz w:val="20"/>
          <w:szCs w:val="20"/>
          <w:color w:val="auto"/>
        </w:rPr>
      </w:pPr>
      <w:r>
        <w:rPr>
          <w:rFonts w:ascii="Times New Roman" w:cs="Times New Roman" w:eastAsia="Times New Roman" w:hAnsi="Times New Roman"/>
          <w:sz w:val="22"/>
          <w:szCs w:val="22"/>
          <w:color w:val="010000"/>
        </w:rPr>
        <w:t>Section 2.08</w:t>
      </w:r>
      <w:r>
        <w:rPr>
          <w:rFonts w:ascii="Times New Roman" w:cs="Times New Roman" w:eastAsia="Times New Roman" w:hAnsi="Times New Roman"/>
          <w:sz w:val="22"/>
          <w:szCs w:val="22"/>
          <w:color w:val="auto"/>
        </w:rPr>
        <w:tab/>
        <w:t xml:space="preserve">Fees. In addition to certain fees described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and in the Arrangement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-13970</wp:posOffset>
            </wp:positionV>
            <wp:extent cx="4311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Letters:</w:t>
      </w:r>
    </w:p>
    <w:p>
      <w:pPr>
        <w:spacing w:after="0" w:line="5" w:lineRule="exact"/>
        <w:rPr>
          <w:sz w:val="20"/>
          <w:szCs w:val="20"/>
          <w:color w:val="auto"/>
        </w:rPr>
      </w:pPr>
    </w:p>
    <w:p>
      <w:pPr>
        <w:jc w:val="both"/>
        <w:ind w:left="660" w:right="20" w:firstLine="644"/>
        <w:spacing w:after="0" w:line="246" w:lineRule="auto"/>
        <w:tabs>
          <w:tab w:leader="none" w:pos="1831"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The Company shall pay to the Administrative Agent for the account of each Revolving Credit Lender </w:t>
      </w:r>
      <w:r>
        <w:rPr>
          <w:rFonts w:ascii="Times New Roman" w:cs="Times New Roman" w:eastAsia="Times New Roman" w:hAnsi="Times New Roman"/>
          <w:sz w:val="22"/>
          <w:szCs w:val="22"/>
          <w:u w:val="single" w:color="auto"/>
          <w:color w:val="0000FF"/>
        </w:rPr>
        <w:t>under the applicable Revolving Credit Facility</w:t>
      </w:r>
      <w:r>
        <w:rPr>
          <w:rFonts w:ascii="Times New Roman" w:cs="Times New Roman" w:eastAsia="Times New Roman" w:hAnsi="Times New Roman"/>
          <w:sz w:val="22"/>
          <w:szCs w:val="22"/>
          <w:color w:val="auto"/>
        </w:rPr>
        <w:t xml:space="preserve"> in accordance with its Applicable Revolving Credit Percentage </w:t>
      </w:r>
      <w:r>
        <w:rPr>
          <w:rFonts w:ascii="Times New Roman" w:cs="Times New Roman" w:eastAsia="Times New Roman" w:hAnsi="Times New Roman"/>
          <w:sz w:val="22"/>
          <w:szCs w:val="22"/>
          <w:color w:val="0000FF"/>
        </w:rPr>
        <w:t>with respect to such Revolving Credit Facility</w:t>
      </w:r>
      <w:r>
        <w:rPr>
          <w:rFonts w:ascii="Times New Roman" w:cs="Times New Roman" w:eastAsia="Times New Roman" w:hAnsi="Times New Roman"/>
          <w:sz w:val="22"/>
          <w:szCs w:val="22"/>
          <w:color w:val="auto"/>
        </w:rPr>
        <w:t>, a commitment fee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on the actual daily amount by which the </w:t>
      </w:r>
      <w:r>
        <w:rPr>
          <w:rFonts w:ascii="Times New Roman" w:cs="Times New Roman" w:eastAsia="Times New Roman" w:hAnsi="Times New Roman"/>
          <w:sz w:val="22"/>
          <w:szCs w:val="22"/>
          <w:u w:val="single" w:color="auto"/>
          <w:color w:val="0000FF"/>
        </w:rPr>
        <w:t>applicable</w:t>
      </w:r>
      <w:r>
        <w:rPr>
          <w:rFonts w:ascii="Times New Roman" w:cs="Times New Roman" w:eastAsia="Times New Roman" w:hAnsi="Times New Roman"/>
          <w:sz w:val="22"/>
          <w:szCs w:val="22"/>
          <w:color w:val="auto"/>
        </w:rPr>
        <w:t xml:space="preserve"> Revolving Credit Facility exceeds the Total Revolving Credit Outstandings </w:t>
      </w:r>
      <w:r>
        <w:rPr>
          <w:rFonts w:ascii="Times New Roman" w:cs="Times New Roman" w:eastAsia="Times New Roman" w:hAnsi="Times New Roman"/>
          <w:sz w:val="22"/>
          <w:szCs w:val="22"/>
          <w:color w:val="0000FF"/>
        </w:rPr>
        <w:t>for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Revolving Credit Facility</w:t>
      </w:r>
      <w:r>
        <w:rPr>
          <w:rFonts w:ascii="Times New Roman" w:cs="Times New Roman" w:eastAsia="Times New Roman" w:hAnsi="Times New Roman"/>
          <w:sz w:val="22"/>
          <w:szCs w:val="22"/>
          <w:color w:val="000000"/>
        </w:rPr>
        <w:t>, at the applicable percentage per annum set forth below determined by reference to the Cash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Flow Ratio as set forth in the most recent Compliance Certificate delivered to the Lenders pursuant to </w:t>
      </w:r>
      <w:r>
        <w:rPr>
          <w:rFonts w:ascii="Times New Roman" w:cs="Times New Roman" w:eastAsia="Times New Roman" w:hAnsi="Times New Roman"/>
          <w:sz w:val="22"/>
          <w:szCs w:val="22"/>
          <w:u w:val="single" w:color="auto"/>
          <w:color w:val="000000"/>
        </w:rPr>
        <w:t>Section 7.01(d)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until the first such Compliance Certificate is delivered to the Lenders following the Closing Date, the Commitment Fee shall be determined by reference to the Cash Flow Ratio (as defined in the First A&amp;R Credit Agreement) as set forth in the most recent Compliance Certificate (as defined in the First A&amp;R Credit Agreement) received by the Administrative Agent prior to the Closing Date pursuant to </w:t>
      </w:r>
      <w:r>
        <w:rPr>
          <w:rFonts w:ascii="Times New Roman" w:cs="Times New Roman" w:eastAsia="Times New Roman" w:hAnsi="Times New Roman"/>
          <w:sz w:val="22"/>
          <w:szCs w:val="22"/>
          <w:u w:val="single" w:color="auto"/>
          <w:color w:val="000000"/>
        </w:rPr>
        <w:t>Section 7.01(d)</w:t>
      </w:r>
      <w:r>
        <w:rPr>
          <w:rFonts w:ascii="Times New Roman" w:cs="Times New Roman" w:eastAsia="Times New Roman" w:hAnsi="Times New Roman"/>
          <w:sz w:val="22"/>
          <w:szCs w:val="22"/>
          <w:color w:val="000000"/>
        </w:rPr>
        <w:t xml:space="preserve"> of the First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-1346835</wp:posOffset>
            </wp:positionV>
            <wp:extent cx="2580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80640" cy="825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-1183640</wp:posOffset>
            </wp:positionV>
            <wp:extent cx="5314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Cash Flow Ratio</w:t>
            </w:r>
          </w:p>
        </w:tc>
        <w:tc>
          <w:tcPr>
            <w:tcW w:w="5620" w:type="dxa"/>
            <w:vAlign w:val="bottom"/>
            <w:tcBorders>
              <w:top w:val="single" w:sz="8" w:color="auto"/>
              <w:bottom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22"/>
                <w:szCs w:val="22"/>
                <w:b w:val="1"/>
                <w:bCs w:val="1"/>
                <w:color w:val="auto"/>
              </w:rPr>
              <w:t>Commitment Fee</w:t>
            </w:r>
          </w:p>
        </w:tc>
      </w:tr>
      <w:tr>
        <w:trPr>
          <w:trHeight w:val="237"/>
        </w:trPr>
        <w:tc>
          <w:tcPr>
            <w:tcW w:w="5640" w:type="dxa"/>
            <w:vAlign w:val="bottom"/>
            <w:tcBorders>
              <w:left w:val="single" w:sz="8" w:color="auto"/>
              <w:right w:val="single" w:sz="8" w:color="auto"/>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&lt;2.50:1.00</w:t>
            </w:r>
          </w:p>
        </w:tc>
        <w:tc>
          <w:tcPr>
            <w:tcW w:w="56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0.25%</w:t>
            </w:r>
          </w:p>
        </w:tc>
      </w:tr>
      <w:tr>
        <w:trPr>
          <w:trHeight w:val="48"/>
        </w:trPr>
        <w:tc>
          <w:tcPr>
            <w:tcW w:w="2360" w:type="dxa"/>
            <w:vAlign w:val="bottom"/>
            <w:tcBorders>
              <w:left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&gt;2.50:1.00 but &lt;4.00:1.00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0.25%</w:t>
            </w: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≥4.00:1.00 but &lt;5.00:1.00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0.25%</w:t>
            </w:r>
          </w:p>
        </w:tc>
      </w:tr>
      <w:tr>
        <w:trPr>
          <w:trHeight w:val="264"/>
        </w:trPr>
        <w:tc>
          <w:tcPr>
            <w:tcW w:w="2360" w:type="dxa"/>
            <w:vAlign w:val="bottom"/>
            <w:tcBorders>
              <w:left w:val="single" w:sz="8" w:color="auto"/>
              <w:bottom w:val="single" w:sz="8" w:color="auto"/>
            </w:tcBorders>
          </w:tcPr>
          <w:p>
            <w:pPr>
              <w:spacing w:after="0"/>
              <w:rPr>
                <w:sz w:val="22"/>
                <w:szCs w:val="22"/>
                <w:color w:val="auto"/>
              </w:rPr>
            </w:pPr>
          </w:p>
        </w:tc>
        <w:tc>
          <w:tcPr>
            <w:tcW w:w="3280" w:type="dxa"/>
            <w:vAlign w:val="bottom"/>
            <w:tcBorders>
              <w:bottom w:val="single" w:sz="8" w:color="auto"/>
              <w:right w:val="single" w:sz="8" w:color="auto"/>
            </w:tcBorders>
            <w:gridSpan w:val="2"/>
          </w:tcPr>
          <w:p>
            <w:pPr>
              <w:jc w:val="center"/>
              <w:ind w:right="2340"/>
              <w:spacing w:after="0"/>
              <w:rPr>
                <w:sz w:val="20"/>
                <w:szCs w:val="20"/>
                <w:color w:val="auto"/>
              </w:rPr>
            </w:pPr>
            <w:r>
              <w:rPr>
                <w:rFonts w:ascii="Times New Roman" w:cs="Times New Roman" w:eastAsia="Times New Roman" w:hAnsi="Times New Roman"/>
                <w:sz w:val="22"/>
                <w:szCs w:val="22"/>
                <w:color w:val="auto"/>
                <w:w w:val="98"/>
              </w:rPr>
              <w:t>≥5.00:1.00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0.375%</w:t>
            </w:r>
          </w:p>
        </w:tc>
      </w:tr>
    </w:tbl>
    <w:p>
      <w:pPr>
        <w:spacing w:after="0" w:line="310" w:lineRule="exact"/>
        <w:rPr>
          <w:sz w:val="20"/>
          <w:szCs w:val="20"/>
          <w:color w:val="auto"/>
        </w:rPr>
      </w:pPr>
    </w:p>
    <w:p>
      <w:pPr>
        <w:jc w:val="both"/>
        <w:ind w:left="660" w:right="20"/>
        <w:spacing w:after="0" w:line="253" w:lineRule="auto"/>
        <w:rPr>
          <w:sz w:val="20"/>
          <w:szCs w:val="20"/>
          <w:color w:val="auto"/>
        </w:rPr>
      </w:pPr>
      <w:r>
        <w:rPr>
          <w:rFonts w:ascii="Times New Roman" w:cs="Times New Roman" w:eastAsia="Times New Roman" w:hAnsi="Times New Roman"/>
          <w:sz w:val="22"/>
          <w:szCs w:val="22"/>
          <w:color w:val="auto"/>
        </w:rPr>
        <w:t xml:space="preserve">The commitment fee shall accrue at all times during the Availability Period, including at any time during which one or more of the conditions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is not met, and shall be due and payable quarterly in arrears on the date that is 15 days after the last day of March, June, September and December of each year, commencing with the first such date to occur after the Closing Date, and on the last day of the Availability Period for the Revolving Credit Facility. The commitment fee shall be calculated quarterly in arrears.</w:t>
      </w:r>
    </w:p>
    <w:p>
      <w:pPr>
        <w:spacing w:after="0" w:line="179" w:lineRule="exact"/>
        <w:rPr>
          <w:sz w:val="20"/>
          <w:szCs w:val="20"/>
          <w:color w:val="auto"/>
        </w:rPr>
      </w:pPr>
    </w:p>
    <w:p>
      <w:pPr>
        <w:ind w:left="660" w:right="20" w:firstLine="644"/>
        <w:spacing w:after="0" w:line="271" w:lineRule="auto"/>
        <w:tabs>
          <w:tab w:leader="none" w:pos="183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(i) The Company shall pay to the Administrative Agent and the applicable L/C Issuer for their own respective accounts fees in the amounts and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60"/>
          </w:cols>
          <w:pgMar w:left="320" w:top="1287" w:right="319" w:bottom="1440" w:gutter="0" w:footer="0" w:header="0"/>
        </w:sectPr>
      </w:pPr>
    </w:p>
    <w:bookmarkStart w:id="113" w:name="page114"/>
    <w:bookmarkEnd w:id="113"/>
    <w:p>
      <w:pPr>
        <w:ind w:left="660"/>
        <w:spacing w:after="0" w:line="271" w:lineRule="auto"/>
        <w:rPr>
          <w:sz w:val="20"/>
          <w:szCs w:val="20"/>
          <w:color w:val="auto"/>
        </w:rPr>
      </w:pPr>
      <w:r>
        <w:rPr>
          <w:rFonts w:ascii="Times New Roman" w:cs="Times New Roman" w:eastAsia="Times New Roman" w:hAnsi="Times New Roman"/>
          <w:sz w:val="22"/>
          <w:szCs w:val="22"/>
          <w:color w:val="auto"/>
        </w:rPr>
        <w:t>times specified in the JPMCB Fee Letter and/or as mutually agreed in writing. Such fees shall not be refundable for any reason whatsoever.</w:t>
      </w:r>
    </w:p>
    <w:p>
      <w:pPr>
        <w:spacing w:after="0" w:line="158" w:lineRule="exact"/>
        <w:rPr>
          <w:sz w:val="20"/>
          <w:szCs w:val="20"/>
          <w:color w:val="auto"/>
        </w:rPr>
      </w:pPr>
    </w:p>
    <w:p>
      <w:pPr>
        <w:jc w:val="both"/>
        <w:ind w:left="1300" w:firstLine="652"/>
        <w:spacing w:after="0" w:line="257" w:lineRule="auto"/>
        <w:tabs>
          <w:tab w:leader="none" w:pos="2421"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pay to the Lenders (or the Administrative Agent on behalf of the Lenders) such fees as shall have been separately agreed upon in writing, to the Lenders and in the amounts and at the times so specified. Such fees shall not be refundable for any reason whatsoever.</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60" w:lineRule="auto"/>
        <w:tabs>
          <w:tab w:leader="none" w:pos="1763"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Anything herein to the contrary notwithstanding, during such period as a Lender is a Defaulting Lender, such Defaulting Lender shall not be entitled to any fees accruing during such period pursuant to </w:t>
      </w:r>
      <w:r>
        <w:rPr>
          <w:rFonts w:ascii="Times New Roman" w:cs="Times New Roman" w:eastAsia="Times New Roman" w:hAnsi="Times New Roman"/>
          <w:sz w:val="21"/>
          <w:szCs w:val="21"/>
          <w:u w:val="single" w:color="auto"/>
          <w:color w:val="auto"/>
        </w:rPr>
        <w:t>Section 2.03(i)</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(without prejudice to the rights of the Non-Defaulting Lenders in respect of such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to the extent that a portion of the L/C Obligations or the Outstanding Amount of Swingline Loans of such Defaulting Lender is reallocated to the Non-Defaulting Lenders pursuant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xml:space="preserve">, such fees that would have accrued for the benefit of such Defaulting Lender shall instead accrue for the benefit of and be payable to such Non-Defaulting Lenders, pro rata in accordance with their respective Commitments, and (b) to the extent of any portion of such L/C Obligations or Outstanding Amount of Swingline Loans that cannot be so reallocated such fees shall instead accrue for the benefit of and be payable to the L/C Issuers and the Swingline Lender as their interests appear (and the pro rata payment provisions of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shall automatically be deemed adjusted to reflect the provisions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Cash Collateralizes any portion of such Defaulting Lender’s L/C Obligations pursuant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the Borrower shall not be required to pay any Commitment Fee or Letter of Credit Fees with respect to such Defaulting Lender’s L/C Obligations during the period such Defaulting Lender’s L/C Obligations are Cash Collateralized.</w:t>
      </w:r>
    </w:p>
    <w:p>
      <w:pPr>
        <w:spacing w:after="0" w:line="17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2.09 </w:t>
      </w:r>
      <w:r>
        <w:rPr>
          <w:rFonts w:ascii="Times New Roman" w:cs="Times New Roman" w:eastAsia="Times New Roman" w:hAnsi="Times New Roman"/>
          <w:sz w:val="22"/>
          <w:szCs w:val="22"/>
          <w:color w:val="000000"/>
        </w:rPr>
        <w:t>Computation of Interest and Fees. All computations of interest for Base Rate Loans when the Base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Rate is determined by JPMCB’s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Loan that is repaid on the same day on which it is made shall, subject to </w:t>
      </w:r>
      <w:r>
        <w:rPr>
          <w:rFonts w:ascii="Times New Roman" w:cs="Times New Roman" w:eastAsia="Times New Roman" w:hAnsi="Times New Roman"/>
          <w:sz w:val="22"/>
          <w:szCs w:val="22"/>
          <w:u w:val="single" w:color="auto"/>
          <w:color w:val="000000"/>
        </w:rPr>
        <w:t>Section 2.11(a)</w:t>
      </w:r>
      <w:r>
        <w:rPr>
          <w:rFonts w:ascii="Times New Roman" w:cs="Times New Roman" w:eastAsia="Times New Roman" w:hAnsi="Times New Roman"/>
          <w:sz w:val="22"/>
          <w:szCs w:val="22"/>
          <w:color w:val="000000"/>
        </w:rPr>
        <w:t>, bear interest for one day. Each determination by the Administrative Agent of an interest rate or fee hereunder shall be conclusive and binding for all purposes,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-1181100</wp:posOffset>
            </wp:positionV>
            <wp:extent cx="19913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2.10 </w:t>
      </w:r>
      <w:r>
        <w:rPr>
          <w:rFonts w:ascii="Times New Roman" w:cs="Times New Roman" w:eastAsia="Times New Roman" w:hAnsi="Times New Roman"/>
          <w:sz w:val="22"/>
          <w:szCs w:val="22"/>
          <w:color w:val="000000"/>
        </w:rPr>
        <w:t>Evidence of Debt. (i) The Credit Extensions made by each Lender shall be evidenced by one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-848995</wp:posOffset>
            </wp:positionV>
            <wp:extent cx="1165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4" w:name="page115"/>
    <w:bookmarkEnd w:id="114"/>
    <w:p>
      <w:pPr>
        <w:jc w:val="both"/>
        <w:spacing w:after="0" w:line="247" w:lineRule="auto"/>
        <w:rPr>
          <w:sz w:val="20"/>
          <w:szCs w:val="20"/>
          <w:color w:val="auto"/>
        </w:rPr>
      </w:pPr>
      <w:r>
        <w:rPr>
          <w:rFonts w:ascii="Times New Roman" w:cs="Times New Roman" w:eastAsia="Times New Roman" w:hAnsi="Times New Roman"/>
          <w:sz w:val="22"/>
          <w:szCs w:val="22"/>
          <w:color w:val="auto"/>
        </w:rPr>
        <w:t>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In the event such Note is issued with more than a de minimis amount of original issue discount (“</w:t>
      </w:r>
      <w:r>
        <w:rPr>
          <w:rFonts w:ascii="Times New Roman" w:cs="Times New Roman" w:eastAsia="Times New Roman" w:hAnsi="Times New Roman"/>
          <w:sz w:val="22"/>
          <w:szCs w:val="22"/>
          <w:u w:val="single" w:color="auto"/>
          <w:color w:val="auto"/>
        </w:rPr>
        <w:t>OID</w:t>
      </w:r>
      <w:r>
        <w:rPr>
          <w:rFonts w:ascii="Times New Roman" w:cs="Times New Roman" w:eastAsia="Times New Roman" w:hAnsi="Times New Roman"/>
          <w:sz w:val="22"/>
          <w:szCs w:val="22"/>
          <w:color w:val="auto"/>
        </w:rPr>
        <w:t>”) as defined in the Code, the Borrower shall legend the Note by stating on its face that it was issued with OID in accordance with Treasury Regulations Section 1.1275-3(b). Each Lender may attach schedules to its Note and endorse thereon the date, Type (if applicable), amount and maturity of its Loans and payments with respect thereto.</w:t>
      </w:r>
    </w:p>
    <w:p>
      <w:pPr>
        <w:spacing w:after="0" w:line="7" w:lineRule="exact"/>
        <w:rPr>
          <w:sz w:val="20"/>
          <w:szCs w:val="20"/>
          <w:color w:val="auto"/>
        </w:rPr>
      </w:pPr>
    </w:p>
    <w:p>
      <w:pPr>
        <w:jc w:val="both"/>
        <w:ind w:firstLine="1304"/>
        <w:spacing w:after="0" w:line="247" w:lineRule="auto"/>
        <w:tabs>
          <w:tab w:leader="none" w:pos="1833"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addition to the accounts and records referred to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2.11</w:t>
      </w:r>
      <w:r>
        <w:rPr>
          <w:sz w:val="20"/>
          <w:szCs w:val="20"/>
          <w:color w:val="auto"/>
        </w:rPr>
        <w:tab/>
      </w:r>
      <w:r>
        <w:rPr>
          <w:rFonts w:ascii="Times New Roman" w:cs="Times New Roman" w:eastAsia="Times New Roman" w:hAnsi="Times New Roman"/>
          <w:sz w:val="21"/>
          <w:szCs w:val="21"/>
          <w:color w:val="auto"/>
        </w:rPr>
        <w:t>Payments Generally; Administrative Agent’s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-13970</wp:posOffset>
            </wp:positionV>
            <wp:extent cx="3184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8" w:lineRule="exact"/>
        <w:rPr>
          <w:sz w:val="20"/>
          <w:szCs w:val="20"/>
          <w:color w:val="auto"/>
        </w:rPr>
      </w:pPr>
    </w:p>
    <w:p>
      <w:pPr>
        <w:jc w:val="both"/>
        <w:ind w:firstLine="8"/>
        <w:spacing w:after="0" w:line="245" w:lineRule="auto"/>
        <w:tabs>
          <w:tab w:leader="none" w:pos="28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other applicable share as provided herein) of such payment in like funds as received by wire transfer to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07"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Funding by Lenders; Presumption by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of SOFR Loans (or, in the case of any Borrowing of Base Rate Loans, prior to the time funds are due in accordance with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5" w:name="page116"/>
    <w:bookmarkEnd w:id="115"/>
    <w:p>
      <w:pPr>
        <w:jc w:val="both"/>
        <w:spacing w:after="0" w:line="248" w:lineRule="auto"/>
        <w:rPr>
          <w:sz w:val="20"/>
          <w:szCs w:val="20"/>
          <w:color w:val="auto"/>
        </w:rPr>
      </w:pPr>
      <w:r>
        <w:rPr>
          <w:rFonts w:ascii="Times New Roman" w:cs="Times New Roman" w:eastAsia="Times New Roman" w:hAnsi="Times New Roman"/>
          <w:sz w:val="22"/>
          <w:szCs w:val="22"/>
          <w:color w:val="auto"/>
        </w:rPr>
        <w:t>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5" w:lineRule="exact"/>
        <w:rPr>
          <w:sz w:val="20"/>
          <w:szCs w:val="20"/>
          <w:color w:val="auto"/>
        </w:rPr>
      </w:pPr>
    </w:p>
    <w:p>
      <w:pPr>
        <w:jc w:val="both"/>
        <w:ind w:left="660" w:firstLine="644"/>
        <w:spacing w:after="0" w:line="261" w:lineRule="auto"/>
        <w:tabs>
          <w:tab w:leader="none" w:pos="1801" w:val="left"/>
        </w:tabs>
        <w:numPr>
          <w:ilvl w:val="0"/>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Payments by Borrower; Presumptions by Administrative Agent</w:t>
      </w:r>
      <w:r>
        <w:rPr>
          <w:rFonts w:ascii="Times New Roman" w:cs="Times New Roman" w:eastAsia="Times New Roman" w:hAnsi="Times New Roman"/>
          <w:sz w:val="21"/>
          <w:szCs w:val="21"/>
          <w:color w:val="auto"/>
        </w:rPr>
        <w:t xml:space="preserve">. Unless the Administrative Agent shall have received notice from the Company prior to the time at which any payment is due to the Administrative Agent for the account of the Lenders </w:t>
      </w:r>
      <w:r>
        <w:rPr>
          <w:rFonts w:ascii="Times New Roman" w:cs="Times New Roman" w:eastAsia="Times New Roman" w:hAnsi="Times New Roman"/>
          <w:sz w:val="21"/>
          <w:szCs w:val="21"/>
          <w:u w:val="single" w:color="auto"/>
          <w:color w:val="0000FF"/>
        </w:rPr>
        <w:t>with respect to each relevant Revolving Credit Facility</w:t>
      </w:r>
      <w:r>
        <w:rPr>
          <w:rFonts w:ascii="Times New Roman" w:cs="Times New Roman" w:eastAsia="Times New Roman" w:hAnsi="Times New Roman"/>
          <w:sz w:val="21"/>
          <w:szCs w:val="21"/>
          <w:color w:val="auto"/>
        </w:rPr>
        <w:t xml:space="preserve"> or any L/C Issuer hereunder that the Borrower will not make such payment, the Administrative Agent may assume that the Borrower has made such payment on such date in accordance herewith and may, in reliance upon such assumption, distribute to the Appropriate Lenders or the relevant L/C Issuer, as the case may be, the amount due. In such event, if the Borrower has not in fact made such payment, then each of the Appropriate Lenders or the relevant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6"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A notice of the Administrative Agent to any Lender or the Company with respect to any amount owing under this subsection (b) shall be conclusive, absent manifest error.</w:t>
      </w:r>
    </w:p>
    <w:p>
      <w:pPr>
        <w:spacing w:after="0" w:line="144" w:lineRule="exact"/>
        <w:rPr>
          <w:sz w:val="20"/>
          <w:szCs w:val="20"/>
          <w:color w:val="auto"/>
        </w:rPr>
      </w:pPr>
    </w:p>
    <w:p>
      <w:pPr>
        <w:jc w:val="both"/>
        <w:ind w:firstLine="1304"/>
        <w:spacing w:after="0" w:line="253" w:lineRule="auto"/>
        <w:tabs>
          <w:tab w:leader="none" w:pos="1752"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53"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Term Loans and Revolving Credit Loans, to fund participations in Letters of Credit and to make payments pursuant to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xml:space="preserve">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7" w:lineRule="auto"/>
        <w:tabs>
          <w:tab w:leader="none" w:pos="1779"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2"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28"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Insufficient Funds</w:t>
      </w:r>
      <w:r>
        <w:rPr>
          <w:rFonts w:ascii="Times New Roman" w:cs="Times New Roman" w:eastAsia="Times New Roman" w:hAnsi="Times New Roman"/>
          <w:sz w:val="22"/>
          <w:szCs w:val="22"/>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9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010000"/>
        </w:rPr>
        <w:t xml:space="preserve">Section 2.12 </w:t>
      </w:r>
      <w:r>
        <w:rPr>
          <w:rFonts w:ascii="Times New Roman" w:cs="Times New Roman" w:eastAsia="Times New Roman" w:hAnsi="Times New Roman"/>
          <w:sz w:val="21"/>
          <w:szCs w:val="21"/>
          <w:color w:val="000000"/>
        </w:rPr>
        <w:t>Sharing of Payments by Lenders. If any Lender shall, by exercising any right of setoff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counterclaim or otherwise, obtain payment in respect of (a) Obligations in respect of any of the Facilities due and payable to such Lender hereunder and under the other Loan Documents at such time in excess of its ratable share (according to the proportion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-355600</wp:posOffset>
            </wp:positionV>
            <wp:extent cx="2176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76145" cy="8255"/>
                    </a:xfrm>
                    <a:prstGeom prst="rect">
                      <a:avLst/>
                    </a:prstGeom>
                    <a:noFill/>
                  </pic:spPr>
                </pic:pic>
              </a:graphicData>
            </a:graphic>
          </wp:anchor>
        </w:drawing>
      </w:r>
    </w:p>
    <w:p>
      <w:pPr>
        <w:jc w:val="both"/>
        <w:ind w:firstLine="8"/>
        <w:spacing w:after="0" w:line="257" w:lineRule="auto"/>
        <w:tabs>
          <w:tab w:leader="none" w:pos="26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such Obligations due and payable to such Lender at such time to (ii) the aggregate amount of the Obligations in respect of such Facilities due and payable to all Lenders hereunder and under the other Loan Documents at such time) of payments on account of the Obligations in respect of such Facilities due and payable to all Lenders hereunder and under the other Loan Documents at such time obtained by all the Lenders at such time or (b) Obligations in respect of any of such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such Facilities owing (but not due and payable) to all Lenders hereunder and under the other Loan Parties at such time) of payments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1" w:lineRule="exact"/>
        <w:rPr>
          <w:rFonts w:ascii="Times New Roman" w:cs="Times New Roman" w:eastAsia="Times New Roman" w:hAnsi="Times New Roman"/>
          <w:sz w:val="21"/>
          <w:szCs w:val="21"/>
          <w:color w:val="auto"/>
        </w:rPr>
      </w:pPr>
    </w:p>
    <w:p>
      <w:pPr>
        <w:jc w:val="both"/>
        <w:ind w:left="660" w:firstLine="644"/>
        <w:spacing w:after="0" w:line="245" w:lineRule="auto"/>
        <w:tabs>
          <w:tab w:leader="none" w:pos="1743"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879"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provisions of this Section shall not be construed to apply to (A) any payment made by the Borrower pursuant to and in accordance with the express terms of this Credit Agreement or (B) any payment obtained by a Lender as consideration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7" w:name="page118"/>
    <w:bookmarkEnd w:id="117"/>
    <w:p>
      <w:pPr>
        <w:ind w:left="660"/>
        <w:spacing w:after="0" w:line="271" w:lineRule="auto"/>
        <w:rPr>
          <w:sz w:val="20"/>
          <w:szCs w:val="20"/>
          <w:color w:val="auto"/>
        </w:rPr>
      </w:pPr>
      <w:r>
        <w:rPr>
          <w:rFonts w:ascii="Times New Roman" w:cs="Times New Roman" w:eastAsia="Times New Roman" w:hAnsi="Times New Roman"/>
          <w:sz w:val="22"/>
          <w:szCs w:val="22"/>
          <w:color w:val="auto"/>
        </w:rPr>
        <w:t>assignment of or sale of a participation in any of its Loans or subparticipations in L/C Obligations to any assignee or participant.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010000"/>
        </w:rPr>
        <w:t xml:space="preserve">Section 2.13 </w:t>
      </w:r>
      <w:r>
        <w:rPr>
          <w:rFonts w:ascii="Times New Roman" w:cs="Times New Roman" w:eastAsia="Times New Roman" w:hAnsi="Times New Roman"/>
          <w:sz w:val="21"/>
          <w:szCs w:val="21"/>
          <w:color w:val="000000"/>
        </w:rPr>
        <w:t>Increase in Commitments. (k)</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Request for Increase</w:t>
      </w:r>
      <w:r>
        <w:rPr>
          <w:rFonts w:ascii="Times New Roman" w:cs="Times New Roman" w:eastAsia="Times New Roman" w:hAnsi="Times New Roman"/>
          <w:sz w:val="21"/>
          <w:szCs w:val="21"/>
          <w:color w:val="000000"/>
        </w:rPr>
        <w:t>. Provided that no Default shall have occurred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and be continuing at such time or would result therefrom, upon notice to the Administrative Agent (which shall promptly notify the </w:t>
      </w:r>
      <w:r>
        <w:rPr>
          <w:rFonts w:ascii="Times New Roman" w:cs="Times New Roman" w:eastAsia="Times New Roman" w:hAnsi="Times New Roman"/>
          <w:sz w:val="21"/>
          <w:szCs w:val="21"/>
          <w:u w:val="single" w:color="auto"/>
          <w:color w:val="0000FF"/>
        </w:rPr>
        <w:t>Extended</w:t>
      </w:r>
      <w:r>
        <w:rPr>
          <w:rFonts w:ascii="Times New Roman" w:cs="Times New Roman" w:eastAsia="Times New Roman" w:hAnsi="Times New Roman"/>
          <w:sz w:val="21"/>
          <w:szCs w:val="21"/>
          <w:color w:val="000000"/>
        </w:rPr>
        <w:t xml:space="preserve"> Revolving Credit Lenders and the Extended Term A Lenders, as applicable), the Company may request, from time to time, without the consent of any Lender, an increase in the </w:t>
      </w:r>
      <w:r>
        <w:rPr>
          <w:rFonts w:ascii="Times New Roman" w:cs="Times New Roman" w:eastAsia="Times New Roman" w:hAnsi="Times New Roman"/>
          <w:sz w:val="21"/>
          <w:szCs w:val="21"/>
          <w:u w:val="single" w:color="auto"/>
          <w:color w:val="0000FF"/>
        </w:rPr>
        <w:t>Extended</w:t>
      </w:r>
      <w:r>
        <w:rPr>
          <w:rFonts w:ascii="Times New Roman" w:cs="Times New Roman" w:eastAsia="Times New Roman" w:hAnsi="Times New Roman"/>
          <w:sz w:val="21"/>
          <w:szCs w:val="21"/>
          <w:color w:val="000000"/>
        </w:rPr>
        <w:t xml:space="preserve"> Revolving Credit Facility or Extended Term A Loans or both by an aggregate amount not exceeding, when taken together with all previous increases in the </w:t>
      </w:r>
      <w:r>
        <w:rPr>
          <w:rFonts w:ascii="Times New Roman" w:cs="Times New Roman" w:eastAsia="Times New Roman" w:hAnsi="Times New Roman"/>
          <w:sz w:val="21"/>
          <w:szCs w:val="21"/>
          <w:u w:val="single" w:color="auto"/>
          <w:color w:val="0000FF"/>
        </w:rPr>
        <w:t>Extended</w:t>
      </w:r>
      <w:r>
        <w:rPr>
          <w:rFonts w:ascii="Times New Roman" w:cs="Times New Roman" w:eastAsia="Times New Roman" w:hAnsi="Times New Roman"/>
          <w:sz w:val="21"/>
          <w:szCs w:val="21"/>
          <w:color w:val="000000"/>
        </w:rPr>
        <w:t xml:space="preserve"> Revolving Credit Facility and Extended Term A Loans pursuant to this </w:t>
      </w:r>
      <w:r>
        <w:rPr>
          <w:rFonts w:ascii="Times New Roman" w:cs="Times New Roman" w:eastAsia="Times New Roman" w:hAnsi="Times New Roman"/>
          <w:sz w:val="21"/>
          <w:szCs w:val="21"/>
          <w:u w:val="single" w:color="auto"/>
          <w:color w:val="000000"/>
        </w:rPr>
        <w:t>Section 2.13</w:t>
      </w:r>
      <w:r>
        <w:rPr>
          <w:rFonts w:ascii="Times New Roman" w:cs="Times New Roman" w:eastAsia="Times New Roman" w:hAnsi="Times New Roman"/>
          <w:sz w:val="21"/>
          <w:szCs w:val="21"/>
          <w:color w:val="000000"/>
        </w:rPr>
        <w:t xml:space="preserve"> (other than the Incremental No. 1 Increase Term A Loans) and all Incremental Term Facilities and Incremental Equivalent Debt pursuant to </w:t>
      </w:r>
      <w:r>
        <w:rPr>
          <w:rFonts w:ascii="Times New Roman" w:cs="Times New Roman" w:eastAsia="Times New Roman" w:hAnsi="Times New Roman"/>
          <w:sz w:val="21"/>
          <w:szCs w:val="21"/>
          <w:u w:val="single" w:color="auto"/>
          <w:color w:val="000000"/>
        </w:rPr>
        <w:t>Section 2.14</w:t>
      </w:r>
      <w:r>
        <w:rPr>
          <w:rFonts w:ascii="Times New Roman" w:cs="Times New Roman" w:eastAsia="Times New Roman" w:hAnsi="Times New Roman"/>
          <w:sz w:val="21"/>
          <w:szCs w:val="21"/>
          <w:color w:val="000000"/>
        </w:rPr>
        <w:t xml:space="preserve">, in each case incurred after the Amendment No. 2 Effective Date , the greater of (i) the Incremental Fixed Amount and (ii) the Incremental Ratio Amount;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any such request for an increase shall be in a minimum amount of $50,000,000. At the time of sending such notice, the Company (in consultation with the Administrative Agent) shall specify the time period within which each </w:t>
      </w:r>
      <w:r>
        <w:rPr>
          <w:rFonts w:ascii="Times New Roman" w:cs="Times New Roman" w:eastAsia="Times New Roman" w:hAnsi="Times New Roman"/>
          <w:sz w:val="21"/>
          <w:szCs w:val="21"/>
          <w:u w:val="single" w:color="auto"/>
          <w:color w:val="0000FF"/>
        </w:rPr>
        <w:t>Extended</w:t>
      </w:r>
      <w:r>
        <w:rPr>
          <w:rFonts w:ascii="Times New Roman" w:cs="Times New Roman" w:eastAsia="Times New Roman" w:hAnsi="Times New Roman"/>
          <w:sz w:val="21"/>
          <w:szCs w:val="21"/>
          <w:color w:val="000000"/>
        </w:rPr>
        <w:t xml:space="preserve"> Revolving Credit Lender or Extended Term A Lender, as applicable, is requested to respond (which shall in no event be less than 10 Business Days from the date of delivery of such notice to such Lenders by the Administrative Agent). It is understood that the Incremental No. 1 Increase Term A Loans are an increase of the Extended Term A Loans pursuant to this </w:t>
      </w:r>
      <w:r>
        <w:rPr>
          <w:rFonts w:ascii="Times New Roman" w:cs="Times New Roman" w:eastAsia="Times New Roman" w:hAnsi="Times New Roman"/>
          <w:sz w:val="21"/>
          <w:szCs w:val="21"/>
          <w:u w:val="single" w:color="auto"/>
          <w:color w:val="000000"/>
        </w:rPr>
        <w:t>Section 2.13</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-1996440</wp:posOffset>
            </wp:positionV>
            <wp:extent cx="15976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jc w:val="both"/>
        <w:ind w:firstLine="1304"/>
        <w:spacing w:after="0" w:line="246" w:lineRule="auto"/>
        <w:tabs>
          <w:tab w:leader="none" w:pos="1858"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Lender Elections to Increase</w:t>
      </w:r>
      <w:r>
        <w:rPr>
          <w:rFonts w:ascii="Times New Roman" w:cs="Times New Roman" w:eastAsia="Times New Roman" w:hAnsi="Times New Roman"/>
          <w:sz w:val="22"/>
          <w:szCs w:val="22"/>
          <w:color w:val="auto"/>
        </w:rPr>
        <w:t xml:space="preserve">. Each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 and Extended Term A Lender, as applicable, shall notify the Administrative Agent within such time period whether or not it agrees to increase its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Commitment or Term A Commitment, respectively, and, if so, whether by an amount equal to, greater than, or less than its ratable portion (based on such Lender’s Applicable Percentage in respect of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Facility or Extended Term A Facility, respectively) of such requested increase. Any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 or Extended Term A Lender not responding within such time period shall be deemed to have declined to increase its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Commitments, or Extended Term A Loans, respectively.</w:t>
      </w:r>
    </w:p>
    <w:p>
      <w:pPr>
        <w:spacing w:after="0" w:line="199"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941"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Notification by Administrative Agent; Additional Lenders</w:t>
      </w:r>
      <w:r>
        <w:rPr>
          <w:rFonts w:ascii="Times New Roman" w:cs="Times New Roman" w:eastAsia="Times New Roman" w:hAnsi="Times New Roman"/>
          <w:sz w:val="22"/>
          <w:szCs w:val="22"/>
          <w:color w:val="auto"/>
        </w:rPr>
        <w:t xml:space="preserve">. The Administrative Agent shall notify the Company and each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 and Extended Term A Lender, as applicable, of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Lenders’ and Extended Term A Lenders’ responses, as the case may be, to each request made hereunder. If the aggregate increase participated in by the existing Lenders is less than the requested increase, then to achieve the full amount of the requested increase, and subject to the approval of the Administrative Agent, the Company may also invite additional Eligible Assignees to become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Lenders or Extended Term A Lenders, as applicable,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joinder agreement in form and substance reasonably satisfactory to the Administrative Agent and its counsel.</w:t>
      </w:r>
    </w:p>
    <w:p>
      <w:pPr>
        <w:spacing w:after="0" w:line="220" w:lineRule="exact"/>
        <w:rPr>
          <w:sz w:val="20"/>
          <w:szCs w:val="20"/>
          <w:color w:val="auto"/>
        </w:rPr>
      </w:pPr>
    </w:p>
    <w:p>
      <w:pPr>
        <w:jc w:val="both"/>
        <w:ind w:firstLine="1304"/>
        <w:spacing w:after="0" w:line="250" w:lineRule="auto"/>
        <w:tabs>
          <w:tab w:leader="none" w:pos="1764"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Effective Date and Allocations</w:t>
      </w:r>
      <w:r>
        <w:rPr>
          <w:rFonts w:ascii="Times New Roman" w:cs="Times New Roman" w:eastAsia="Times New Roman" w:hAnsi="Times New Roman"/>
          <w:sz w:val="22"/>
          <w:szCs w:val="22"/>
          <w:color w:val="auto"/>
        </w:rPr>
        <w:t xml:space="preserve">. If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Facility or Extended Term A Loans or both are increased in accordance with this Section, the Administrative Agent and the Company shall determine the effective date (the “</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xml:space="preserve">”) and the final allocation of such increase. The Administrative Agent shall promptly notify the Company and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Lenders and the Extended Term A Lenders, including the proposed new lenders, as applicable, of the final allocation of such increase and the Increase Effective Date. Such amendment may be signed by the Administrative Agent on behalf of the Lenders and shall not require the consent of any Lender other than Lenders providing such increase.</w:t>
      </w:r>
    </w:p>
    <w:p>
      <w:pPr>
        <w:spacing w:after="0" w:line="180" w:lineRule="exact"/>
        <w:rPr>
          <w:rFonts w:ascii="Times New Roman" w:cs="Times New Roman" w:eastAsia="Times New Roman" w:hAnsi="Times New Roman"/>
          <w:sz w:val="22"/>
          <w:szCs w:val="22"/>
          <w:color w:val="010000"/>
        </w:rPr>
      </w:pPr>
    </w:p>
    <w:p>
      <w:pPr>
        <w:jc w:val="both"/>
        <w:ind w:firstLine="1304"/>
        <w:spacing w:after="0" w:line="259" w:lineRule="auto"/>
        <w:tabs>
          <w:tab w:leader="none" w:pos="1819" w:val="left"/>
        </w:tabs>
        <w:numPr>
          <w:ilvl w:val="0"/>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Conditions to Effectiveness of Increase</w:t>
      </w:r>
      <w:r>
        <w:rPr>
          <w:rFonts w:ascii="Times New Roman" w:cs="Times New Roman" w:eastAsia="Times New Roman" w:hAnsi="Times New Roman"/>
          <w:sz w:val="21"/>
          <w:szCs w:val="21"/>
          <w:color w:val="auto"/>
        </w:rPr>
        <w:t xml:space="preserve">. As a condition precedent to such increase, (1) the Company shall deliver to the Administrative Agent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in the case of the Company, certifying that, before and after giving effect to such increase, (A) the representations and warranties contained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the representations and warranties contained in subsections (a) and (b) of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shall be deemed to refer to the most recent statements furnished pursuant to clauses (b) and (a), respectively,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(B) no Default exists or would result from such increase; (2) all fees and expenses of the Administrative Agent and the Lenders in connection with such increase shall have been paid on or prior to the Increase Effective Date; and (3) on such Increase Effective Date, on a pro forma basis after giving effect to any such increase in Loans, including any acquisitions consummated or payments of Indebtedness made with the proceeds thereof, and any acquisitions or dispositions after the first day of the most recently ended Quarter for which financial statements were delivered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(such pro forma basis to include, in the Company’s discretion, a reasonable estimate of savings resulting from any such acquisition or disposition (A) that have been realized, (B) for which the steps necessary for realization have been taken, or (C) for which the steps necessary for realization are reasonably expected to be taken within 12 months of the date of such acquisition or disposition, in each case, certified by the Company) but prior to or simultaneous with the borrowing of any such increased Loans, the Company would be in compliance with the Financial Covenants, recomputed as of the last day of the most recently ended Quarter for which financial statements were delivered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calculated as if such transaction occurred on the first day of the 12-month period then ended.</w:t>
      </w:r>
    </w:p>
    <w:p>
      <w:pPr>
        <w:spacing w:after="0" w:line="188" w:lineRule="exact"/>
        <w:rPr>
          <w:rFonts w:ascii="Times New Roman" w:cs="Times New Roman" w:eastAsia="Times New Roman" w:hAnsi="Times New Roman"/>
          <w:sz w:val="21"/>
          <w:szCs w:val="21"/>
          <w:color w:val="010000"/>
        </w:rPr>
      </w:pPr>
    </w:p>
    <w:p>
      <w:pPr>
        <w:jc w:val="both"/>
        <w:ind w:firstLine="1304"/>
        <w:spacing w:after="0" w:line="252" w:lineRule="auto"/>
        <w:tabs>
          <w:tab w:leader="none" w:pos="1728"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an increase in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Commitment in accordance with this Section, on the Increase Effective Date, the Borrower shall borrow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Loans and prepay any outstanding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Loans from each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 (and pay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to the extent necessary to keep the outstanding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Loans ratable among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Lenders in accordance with their respective revised Applicable Revolving Credit Percentages arising from any nonratable increase in the </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auto"/>
        </w:rPr>
        <w:t xml:space="preserve"> Revolving Credit Commitments under this Section. Any additional Extended Term A Loans shall be made by the Extended Term A Lenders participating therein pursuant to the procedures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780" w:hanging="476"/>
        <w:spacing w:after="0"/>
        <w:tabs>
          <w:tab w:leader="none" w:pos="1780"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to the contrary.</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2.14 </w:t>
      </w:r>
      <w:r>
        <w:rPr>
          <w:rFonts w:ascii="Times New Roman" w:cs="Times New Roman" w:eastAsia="Times New Roman" w:hAnsi="Times New Roman"/>
          <w:sz w:val="22"/>
          <w:szCs w:val="22"/>
          <w:color w:val="000000"/>
        </w:rPr>
        <w:t>Incremental Term Facility. (l)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Request for Incremental Term Facility</w:t>
      </w:r>
      <w:r>
        <w:rPr>
          <w:rFonts w:ascii="Times New Roman" w:cs="Times New Roman" w:eastAsia="Times New Roman" w:hAnsi="Times New Roman"/>
          <w:sz w:val="22"/>
          <w:szCs w:val="22"/>
          <w:color w:val="000000"/>
        </w:rPr>
        <w:t>. Provided that no Default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have occurred and be continuing at such time or would result therefrom, upon notice to the Administrative Agent, the Company may request, on one or more occasions, without the consent of any Lender, a separate tranche of commitments (“</w:t>
      </w:r>
      <w:r>
        <w:rPr>
          <w:rFonts w:ascii="Times New Roman" w:cs="Times New Roman" w:eastAsia="Times New Roman" w:hAnsi="Times New Roman"/>
          <w:sz w:val="22"/>
          <w:szCs w:val="22"/>
          <w:u w:val="single" w:color="auto"/>
          <w:color w:val="000000"/>
        </w:rPr>
        <w:t>Incremental</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Term Commitments</w:t>
      </w:r>
      <w:r>
        <w:rPr>
          <w:rFonts w:ascii="Times New Roman" w:cs="Times New Roman" w:eastAsia="Times New Roman" w:hAnsi="Times New Roman"/>
          <w:sz w:val="22"/>
          <w:szCs w:val="22"/>
          <w:color w:val="000000"/>
        </w:rPr>
        <w:t>”) and loans (“</w:t>
      </w:r>
      <w:r>
        <w:rPr>
          <w:rFonts w:ascii="Times New Roman" w:cs="Times New Roman" w:eastAsia="Times New Roman" w:hAnsi="Times New Roman"/>
          <w:sz w:val="22"/>
          <w:szCs w:val="22"/>
          <w:u w:val="single" w:color="auto"/>
          <w:color w:val="000000"/>
        </w:rPr>
        <w:t>Incremental Term Loans</w:t>
      </w:r>
      <w:r>
        <w:rPr>
          <w:rFonts w:ascii="Times New Roman" w:cs="Times New Roman" w:eastAsia="Times New Roman" w:hAnsi="Times New Roman"/>
          <w:sz w:val="22"/>
          <w:szCs w:val="22"/>
          <w:color w:val="000000"/>
        </w:rPr>
        <w:t xml:space="preserve">”) to be established under this Credit Agreement in an amount not exceeding, when taken together with the amount of any increase in the Revolving Credit Facilities (as if fully drawn on the date of determination of compliance hereunder) and Term A Loans incurred pursuant to </w:t>
      </w:r>
      <w:r>
        <w:rPr>
          <w:rFonts w:ascii="Times New Roman" w:cs="Times New Roman" w:eastAsia="Times New Roman" w:hAnsi="Times New Roman"/>
          <w:sz w:val="22"/>
          <w:szCs w:val="22"/>
          <w:u w:val="single" w:color="auto"/>
          <w:color w:val="000000"/>
        </w:rPr>
        <w:t>Section 2.13</w:t>
      </w:r>
      <w:r>
        <w:rPr>
          <w:rFonts w:ascii="Times New Roman" w:cs="Times New Roman" w:eastAsia="Times New Roman" w:hAnsi="Times New Roman"/>
          <w:sz w:val="22"/>
          <w:szCs w:val="22"/>
          <w:color w:val="000000"/>
        </w:rPr>
        <w:t xml:space="preserve"> (other than the Incremental No. 1 Increase Term A Loans) and all incurrences of Incremental Equivalent Debt after the Amendment No. 2 Effective Date, the greater of (i) the Incremental Fixed Amount and (ii) the Incremental Ratio Amount;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such request for an Incremental Term Facility shall be in a minimum amount of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-1341120</wp:posOffset>
            </wp:positionV>
            <wp:extent cx="1567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jc w:val="both"/>
        <w:ind w:firstLine="1304"/>
        <w:spacing w:after="0" w:line="247" w:lineRule="auto"/>
        <w:tabs>
          <w:tab w:leader="none" w:pos="180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Incremental Term Lenders</w:t>
      </w:r>
      <w:r>
        <w:rPr>
          <w:rFonts w:ascii="Times New Roman" w:cs="Times New Roman" w:eastAsia="Times New Roman" w:hAnsi="Times New Roman"/>
          <w:sz w:val="22"/>
          <w:szCs w:val="22"/>
          <w:color w:val="auto"/>
        </w:rPr>
        <w:t xml:space="preserve">. The Company shall be entitled to elect, in its own discretion, Incremental Term Lenders from among the existing Lenders and any additional banks, financial institutions and other institutional lenders or investors, subject to the consent of (i) such proposed Incremental Term Lender and (ii) the Administrative Agent (which consent shall not be unreasonably withheld), if such consent would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for an assignment of loans or commitments, as applicable, to such Incremental Term Lender.</w:t>
      </w:r>
    </w:p>
    <w:p>
      <w:pPr>
        <w:spacing w:after="0" w:line="186"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819"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Conditions to Effectiveness of Incremental Term Facility</w:t>
      </w:r>
      <w:r>
        <w:rPr>
          <w:rFonts w:ascii="Times New Roman" w:cs="Times New Roman" w:eastAsia="Times New Roman" w:hAnsi="Times New Roman"/>
          <w:sz w:val="22"/>
          <w:szCs w:val="22"/>
          <w:color w:val="auto"/>
        </w:rPr>
        <w:t>. As a condition precedent to the effectiveness of each Incremental Term Facility, (1) the Company, the Administrative Agent and the Incremental Term Lenders party thereto shall enter into a supplement or amendment to this Credit Agreement, which may be in the form attached as Exhibit I hereto or another form reasonably acceptable to the Administrative Agent (an “</w:t>
      </w:r>
      <w:r>
        <w:rPr>
          <w:rFonts w:ascii="Times New Roman" w:cs="Times New Roman" w:eastAsia="Times New Roman" w:hAnsi="Times New Roman"/>
          <w:sz w:val="22"/>
          <w:szCs w:val="22"/>
          <w:u w:val="single" w:color="auto"/>
          <w:color w:val="auto"/>
        </w:rPr>
        <w:t>Incremental Term Supplement</w:t>
      </w:r>
      <w:r>
        <w:rPr>
          <w:rFonts w:ascii="Times New Roman" w:cs="Times New Roman" w:eastAsia="Times New Roman" w:hAnsi="Times New Roman"/>
          <w:sz w:val="22"/>
          <w:szCs w:val="22"/>
          <w:color w:val="auto"/>
        </w:rPr>
        <w:t xml:space="preserve">”) setting forth the terms and conditions relating to such Incremental Term Facility, which shall be reasonably acceptable to the Administrative Agent (except to the extent that they are consistent with the provisos to this clause (c));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such Incremental Term Facility shall (i) not have a final maturity date earlier than the Maturity Date applicable to the Extended Term A Facility or a weighted average life to maturity shorter than the weighted average life to maturity of the Extended Term A Facility, (ii) be guaranteed only by the Guarantors hereunder, (iii)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in right of payment and of security with the Term A Facilities, (iv) provide for the ability to participate on a pro rata basis or less than a pro rata basis (but not on a greater than pro rata basis except with respect to mandatory prepayments based on excess cash flow) in any voluntary or mandatory prepayments of the Non-Extended Term A Loans and the Extended Term A Loans and (v) except as to pricing, interest rate margins, rate floors, discounts, fees, collateral, guarantees, premiums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0" w:name="page121"/>
    <w:bookmarkEnd w:id="12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prepayment or redemption provisions, some of which are addressed in other clauses of this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 xml:space="preserve">, shall have terms and conditions not materially more restrictive (when taken as a whole) than the terms and conditions of this Agreement (when taken as a whole) (unless (x) such terms and conditions are applicable only to periods after the Maturity Date at such time or (y) the Lenders also receive the benefit of such more restrictive terms and conditions) (it being understood that, to the extent that any covenant, event of default, guarantee or other provision is added or modified for the benefit of any such Indebtedness, no consent shall be required by the Administrative Agent or any of the Lenders if such covenant, event of default or guarantee is also added or modified for the benefit of any corresponding Loans remaining outstanding after the issuance or incurrence of any such Indebtedness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in its sole discretion, deliver a certificate of a Responsible Officer of the Borrower to the Administrative Agent substantially concurrently with or up to one (1) Business Day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requirement in this clause (v), and such certificate shall be conclusive evidence that such terms and conditions satisfy the foregoing requirement, (2) the Company shall deliver to the Administrative Agent a certificate of each Loan Party dated as of the effective date of an Incremental Term Facility (in sufficient copies for each Lender) signed by a Responsible Officer of such Loan Party (i) certifying and attaching the resolutions adopted by such Loan Party approving or consenting to such Incremental Term Facility, and (ii) in the case of the Company, certifying that, before and after giving effect to such Incremental Term Facility, (A) the representations and warranties contained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the other Loan Documents are true and correct on and as of such effective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representations and warranties contained in subsections (a) and (b)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shall be deemed to refer to the most recent statements furnished pursuant to clauses (b) and (a), respectively,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and (B) no Default exists, and (3) all fees and expenses of the Administrative Agent and the Incremental Term Lenders in connection with such Incremental Term Facility shall have been paid on or prior to the effectiveness of such Incremental Term Facility. Upon the effective date of an Incremental Term Supplement, each lender thereunder shall become an Incremental Term Lender hereunder and such Incremental Term Supplement shall be deemed part of this Credit Agreement for all purposes thereafter. Any Incremental Term Supplement may, without the consent of any other Lenders, effect such amendments to this Agreement and the other Loan Documents as may be necessary or appropriate, in the reasonable opinion of the Borrower in consultation with the Administrative Agent, to effect the provisions of this Section 2.14. This Section 2.14 shall supersede any provisions in Section 10.01 to the contrary.</w:t>
      </w:r>
    </w:p>
    <w:p>
      <w:pPr>
        <w:spacing w:after="0" w:line="202" w:lineRule="exact"/>
        <w:rPr>
          <w:sz w:val="20"/>
          <w:szCs w:val="20"/>
          <w:color w:val="auto"/>
        </w:rPr>
      </w:pPr>
    </w:p>
    <w:p>
      <w:pPr>
        <w:jc w:val="both"/>
        <w:ind w:firstLine="1304"/>
        <w:spacing w:after="0" w:line="253" w:lineRule="auto"/>
        <w:tabs>
          <w:tab w:leader="none" w:pos="194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Incremental Term Loans shall be made available to the Borrower as set forth in the applicable Incremental Term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such date, on a pro forma basis after giving effect to such increase in Loans, including any acquisitions consummated or payments of Indebtedness made with the proceeds thereof, and any acquisitions or dispositions after the first day of the most recently ended Quarter for which financial statements were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(such pro forma basis to include,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1" w:name="page122"/>
    <w:bookmarkEnd w:id="12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Company’s discretion, a reasonable estimate of savings resulting from any such acquisition or disposition (A) that have been realized, (B) for which the steps necessary for realization have been taken, or (C) for which the steps necessary for realization are reasonably expected to be taken within 12 months of the date of such acquisition or disposition, in each case, certified by the Company) but prior to or simultaneous with the borrowing of any Incremental Term Loans, the Company would be in compliance with the Financial Covenants, recomputed as of the last day of the most recently ended Quarter for which financial statements were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such transaction occurred on the first day of the 12-month period then ended.</w:t>
      </w:r>
    </w:p>
    <w:p>
      <w:pPr>
        <w:spacing w:after="0" w:line="180" w:lineRule="exact"/>
        <w:rPr>
          <w:sz w:val="20"/>
          <w:szCs w:val="20"/>
          <w:color w:val="auto"/>
        </w:rPr>
      </w:pPr>
    </w:p>
    <w:p>
      <w:pPr>
        <w:jc w:val="both"/>
        <w:ind w:firstLine="1304"/>
        <w:spacing w:after="0" w:line="259" w:lineRule="auto"/>
        <w:tabs>
          <w:tab w:leader="none" w:pos="1876" w:val="left"/>
        </w:tabs>
        <w:numPr>
          <w:ilvl w:val="1"/>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Borrower may incur Indebtedness in the form of term loans or debt securities that is unsecured or secured by Liens on the Collateral that are pari passu or junior in priority with the Liens on the Collateral securing the Obligations (“</w:t>
      </w:r>
      <w:r>
        <w:rPr>
          <w:rFonts w:ascii="Times New Roman" w:cs="Times New Roman" w:eastAsia="Times New Roman" w:hAnsi="Times New Roman"/>
          <w:sz w:val="21"/>
          <w:szCs w:val="21"/>
          <w:u w:val="single" w:color="auto"/>
          <w:color w:val="auto"/>
        </w:rPr>
        <w:t>Incremental Equivalent Debt</w:t>
      </w:r>
      <w:r>
        <w:rPr>
          <w:rFonts w:ascii="Times New Roman" w:cs="Times New Roman" w:eastAsia="Times New Roman" w:hAnsi="Times New Roman"/>
          <w:sz w:val="21"/>
          <w:szCs w:val="21"/>
          <w:color w:val="auto"/>
        </w:rPr>
        <w:t xml:space="preserve">”) in an amount not exceeding, when taken together with the amount of any increase in the Revolving Credit Facilities (as if fully drawn on the date of determination of compliance hereunder), Term A Loans incurred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(other than the Incremental No. 1 Increase Term A Loans) and all Incremental Term Facilities, after the Amendment No. 2 Effective Date, the greater of (i) the Incremental Fixed Amount and (ii) the Incremental Ratio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(other than customary bridge facilities that convert into Indebtedness that complies with this clause (i)) shall not have a final maturity date earlier than the latest maturity date applicable to the Extended Term A Facility or a weighted average life to maturity shorter than the weighted average life to maturity of the Extended Term A Facility,</w:t>
      </w:r>
    </w:p>
    <w:p>
      <w:pPr>
        <w:spacing w:after="0" w:line="2" w:lineRule="exact"/>
        <w:rPr>
          <w:rFonts w:ascii="Times New Roman" w:cs="Times New Roman" w:eastAsia="Times New Roman" w:hAnsi="Times New Roman"/>
          <w:sz w:val="21"/>
          <w:szCs w:val="21"/>
          <w:color w:val="010000"/>
        </w:rPr>
      </w:pPr>
    </w:p>
    <w:p>
      <w:pPr>
        <w:jc w:val="both"/>
        <w:ind w:firstLine="8"/>
        <w:spacing w:after="0" w:line="258" w:lineRule="auto"/>
        <w:tabs>
          <w:tab w:leader="none" w:pos="321"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Incremental Equivalent Debt may provide for the ability to participate on a pro rata basis or less than a pro rata basis (but not on a greater than pro rata basis except with respect to mandatory prepayments based on excess cash flow) in any voluntary or mandatory prepayments of the Term A Loans, (iii) any Incremental Equivalent Debt may be guaranteed only by the Guarantors guaranteeing the Facilities and (iv) any secured Incremental Equivalent Debt shall (A) rank pari passu or junior in right of payment and of security with the Term A Facilities, (B) except as to pricing, interest rate margins, rate floors, discounts, fees, collateral, guarantees, premiums and prepayment or redemption provisions, some of which are addressed in other clauses of this </w:t>
      </w:r>
      <w:r>
        <w:rPr>
          <w:rFonts w:ascii="Times New Roman" w:cs="Times New Roman" w:eastAsia="Times New Roman" w:hAnsi="Times New Roman"/>
          <w:sz w:val="21"/>
          <w:szCs w:val="21"/>
          <w:u w:val="single" w:color="auto"/>
          <w:color w:val="auto"/>
        </w:rPr>
        <w:t>Section 2.14(e)</w:t>
      </w:r>
      <w:r>
        <w:rPr>
          <w:rFonts w:ascii="Times New Roman" w:cs="Times New Roman" w:eastAsia="Times New Roman" w:hAnsi="Times New Roman"/>
          <w:sz w:val="21"/>
          <w:szCs w:val="21"/>
          <w:color w:val="auto"/>
        </w:rPr>
        <w:t xml:space="preserve">, shall have terms and conditions not materially more restrictive (when taken as a whole) than the terms and conditions of this Agreement (when taken as a whole) (unless (w) in the case of Indebtedness in the form of notes or other debt securities, such terms and conditions are customary for similar Indebtedness in the form of notes or other debt securities in light of then-prevailing market conditions as of the time of incurrence thereof, (x) such terms and conditions are applicable only to periods after the Maturity Date at such time or (y) the Lenders also receive the benefit of such more restrictive terms and conditions) (it being understood that, to the extent that any covenant, event of default, guarantee or other provision is added or modified for the benefit of any such Indebtedness, no consent shall be required by the Administrative Agent or any of the Lenders if such covenant, event of default or guarantee is also added or modified for the benefit of any corresponding Loans remaining outstanding after the issuance or incurrence of any such Indebtedness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Borrower may, in its sole discretion, deliver a certificate of a Responsible Officer of the Borrower to the Administrative Agent substantially concurrently with or up to one (1) Business Day prior to the incurrence of such Indebtedness, together with a reasonably detailed description of the material terms and conditions of such resulting Indebtedness or drafts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2" w:name="page123"/>
    <w:bookmarkEnd w:id="122"/>
    <w:p>
      <w:pPr>
        <w:jc w:val="both"/>
        <w:spacing w:after="0" w:line="252" w:lineRule="auto"/>
        <w:rPr>
          <w:sz w:val="20"/>
          <w:szCs w:val="20"/>
          <w:color w:val="auto"/>
        </w:rPr>
      </w:pPr>
      <w:r>
        <w:rPr>
          <w:rFonts w:ascii="Times New Roman" w:cs="Times New Roman" w:eastAsia="Times New Roman" w:hAnsi="Times New Roman"/>
          <w:sz w:val="22"/>
          <w:szCs w:val="22"/>
          <w:color w:val="auto"/>
        </w:rPr>
        <w:t>documentation relating thereto, stating that the Borrower has determined in good faith that such terms and conditions satisfy the requirement in this clause (B), and such certificate shall be conclusive evidence that such terms and conditions satisfy the foregoing requirement, (C) be subject to a customary intercreditor agreement reasonably acceptable to the Administrative Agent and the Company and (D) not be secured by any property or assets other than Collateral.</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2.15</w:t>
      </w:r>
      <w:r>
        <w:rPr>
          <w:sz w:val="20"/>
          <w:szCs w:val="20"/>
          <w:color w:val="auto"/>
        </w:rPr>
        <w:tab/>
      </w:r>
      <w:r>
        <w:rPr>
          <w:rFonts w:ascii="Times New Roman" w:cs="Times New Roman" w:eastAsia="Times New Roman" w:hAnsi="Times New Roman"/>
          <w:sz w:val="21"/>
          <w:szCs w:val="21"/>
          <w:color w:val="auto"/>
        </w:rPr>
        <w:t>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062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 w:lineRule="exact"/>
        <w:rPr>
          <w:sz w:val="20"/>
          <w:szCs w:val="20"/>
          <w:color w:val="auto"/>
        </w:rPr>
      </w:pPr>
    </w:p>
    <w:p>
      <w:pPr>
        <w:ind w:left="1760" w:hanging="456"/>
        <w:spacing w:after="0"/>
        <w:tabs>
          <w:tab w:leader="none" w:pos="1760"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Swingline Borrowings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660" w:firstLine="644"/>
        <w:spacing w:after="0" w:line="253" w:lineRule="auto"/>
        <w:tabs>
          <w:tab w:leader="none" w:pos="1876"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 Disbursement</w:t>
      </w:r>
      <w:r>
        <w:rPr>
          <w:rFonts w:ascii="Times New Roman" w:cs="Times New Roman" w:eastAsia="Times New Roman" w:hAnsi="Times New Roman"/>
          <w:sz w:val="22"/>
          <w:szCs w:val="22"/>
          <w:color w:val="auto"/>
        </w:rPr>
        <w:t>. Whenever the Borrower desires a Swingline Borrowing hereunder it shall give irrevocable notice to the Swingline Lender not later than 1:00 p.m. on the date of the requested Swingline Borrowing in the form of a Committed Loan Notice. Subject to satisfaction of the conditions set forth herein, the Swingline Lender shall initiate the transfer of funds representing such Borrowing to the Borrower on the Business Day specified by the Borrower in the applicable Committed Loan Notice.</w:t>
      </w:r>
    </w:p>
    <w:p>
      <w:pPr>
        <w:spacing w:after="0" w:line="178" w:lineRule="exact"/>
        <w:rPr>
          <w:rFonts w:ascii="Times New Roman" w:cs="Times New Roman" w:eastAsia="Times New Roman" w:hAnsi="Times New Roman"/>
          <w:sz w:val="22"/>
          <w:szCs w:val="22"/>
          <w:color w:val="010000"/>
        </w:rPr>
      </w:pPr>
    </w:p>
    <w:p>
      <w:pPr>
        <w:ind w:left="660" w:firstLine="644"/>
        <w:spacing w:after="0" w:line="271" w:lineRule="auto"/>
        <w:tabs>
          <w:tab w:leader="none" w:pos="1855"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 Each Swingline Borrowing shall be in a minimum principal amount of $500,000 and integral multiples of $250,000, in excess thereof.</w:t>
      </w:r>
    </w:p>
    <w:p>
      <w:pPr>
        <w:spacing w:after="0" w:line="158" w:lineRule="exact"/>
        <w:rPr>
          <w:sz w:val="20"/>
          <w:szCs w:val="20"/>
          <w:color w:val="auto"/>
        </w:rPr>
      </w:pPr>
    </w:p>
    <w:p>
      <w:pPr>
        <w:ind w:left="1900" w:hanging="596"/>
        <w:spacing w:after="0"/>
        <w:tabs>
          <w:tab w:leader="none" w:pos="1900"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Repayment of Swingline Loans</w:t>
      </w:r>
      <w:r>
        <w:rPr>
          <w:rFonts w:ascii="Times New Roman" w:cs="Times New Roman" w:eastAsia="Times New Roman" w:hAnsi="Times New Roman"/>
          <w:sz w:val="22"/>
          <w:szCs w:val="22"/>
          <w:color w:val="auto"/>
        </w:rPr>
        <w:t>. Each Swingline Borrowing shall be due and payable on the earliest of</w:t>
      </w:r>
    </w:p>
    <w:p>
      <w:pPr>
        <w:spacing w:after="0" w:line="27" w:lineRule="exact"/>
        <w:rPr>
          <w:rFonts w:ascii="Times New Roman" w:cs="Times New Roman" w:eastAsia="Times New Roman" w:hAnsi="Times New Roman"/>
          <w:sz w:val="22"/>
          <w:szCs w:val="22"/>
          <w:color w:val="010000"/>
        </w:rPr>
      </w:pPr>
    </w:p>
    <w:p>
      <w:pPr>
        <w:jc w:val="both"/>
        <w:ind w:firstLine="8"/>
        <w:spacing w:after="0" w:line="258" w:lineRule="auto"/>
        <w:tabs>
          <w:tab w:leader="none" w:pos="25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10 days from the date of such Borrowing, (ii) the date of the next succeeding Revolving Credit Borrowing, or (iii) the Maturity Date for the Revolving Credit Facility;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the Borrower may prepay any Swingline Borrowing prior to the date it is due upon notice to the Swingline Lender not later than 1:00 p.m. on the date of prepayment of such Borrowing. If such notice is given by the Borrower, the Borrower shall make such prepayment and the payment amount specified in such notice shall be due and payable on the date specified therein, together with accrued interest to such date on the amount prepaid. If, and to the extent, any Swingline Loans shall be outstanding on the date of any Revolving Credit Borrowing, such Swingline Loans shall be repaid from the proceeds of such Revolving Credit Borrowing prior to any distribution of such proceeds to the Borrower. If, and to the extent, a Revolving Credit Borrowing is not requested prior to earlier of (A) the Maturity Date for the Revolving Credit Facility or (B) the last day of any such 10 day period from the date of any Swingline Borrowing, the Borrower shall be deemed to have requested a Base Rate Loan on the Business Day immediately preceding the Maturity Date for the Revolving Credit Facility or the last day of such 10 day period, as applicable, in the amount of the Swingline Loans then outstanding, the proceeds of which shall be used to repay the Swingline Lender for such Swingline Loans. In addition, the Swingline Lender may, at any time, in its sole discretion by written notice to the Company and the Administrative Agent, require repayment of its Swingline Loans by way of a Revolving Credit Loan, in which case the Borrower shall be deemed to have requested a Base Rate Loan of the Revolving Credit Loans in the amount of such Swingline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demand shall be deemed to have been given one Business Day prior to the Maturity Date for the Revolving Credit Facility and upon the occurrence of any Event of Default described in </w:t>
      </w:r>
      <w:r>
        <w:rPr>
          <w:rFonts w:ascii="Times New Roman" w:cs="Times New Roman" w:eastAsia="Times New Roman" w:hAnsi="Times New Roman"/>
          <w:sz w:val="21"/>
          <w:szCs w:val="21"/>
          <w:u w:val="single" w:color="auto"/>
          <w:color w:val="auto"/>
        </w:rPr>
        <w:t>Section 8.01(g)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8.01(h)</w:t>
      </w:r>
      <w:r>
        <w:rPr>
          <w:rFonts w:ascii="Times New Roman" w:cs="Times New Roman" w:eastAsia="Times New Roman" w:hAnsi="Times New Roman"/>
          <w:sz w:val="21"/>
          <w:szCs w:val="21"/>
          <w:color w:val="auto"/>
        </w:rPr>
        <w:t xml:space="preserve"> and also upon acceleration of the Obligations, whether on account of an Event of Default described in </w:t>
      </w:r>
      <w:r>
        <w:rPr>
          <w:rFonts w:ascii="Times New Roman" w:cs="Times New Roman" w:eastAsia="Times New Roman" w:hAnsi="Times New Roman"/>
          <w:sz w:val="21"/>
          <w:szCs w:val="21"/>
          <w:u w:val="single" w:color="auto"/>
          <w:color w:val="auto"/>
        </w:rPr>
        <w:t>Section 8.01(g)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8.01(h)</w:t>
      </w:r>
      <w:r>
        <w:rPr>
          <w:rFonts w:ascii="Times New Roman" w:cs="Times New Roman" w:eastAsia="Times New Roman" w:hAnsi="Times New Roman"/>
          <w:sz w:val="21"/>
          <w:szCs w:val="21"/>
          <w:color w:val="auto"/>
        </w:rPr>
        <w:t xml:space="preserve"> or any other Event of Default, in accordance with the provisions of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following an Event of Default (each such Revolving Credit Loan made 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3" w:name="page124"/>
    <w:bookmarkEnd w:id="123"/>
    <w:p>
      <w:pPr>
        <w:jc w:val="both"/>
        <w:spacing w:after="0" w:line="260" w:lineRule="auto"/>
        <w:rPr>
          <w:sz w:val="20"/>
          <w:szCs w:val="20"/>
          <w:color w:val="auto"/>
        </w:rPr>
      </w:pPr>
      <w:r>
        <w:rPr>
          <w:rFonts w:ascii="Times New Roman" w:cs="Times New Roman" w:eastAsia="Times New Roman" w:hAnsi="Times New Roman"/>
          <w:sz w:val="21"/>
          <w:szCs w:val="21"/>
          <w:color w:val="auto"/>
        </w:rPr>
        <w:t>of any such deemed request therefor as provided herein being hereinafter referred to as a “</w:t>
      </w:r>
      <w:r>
        <w:rPr>
          <w:rFonts w:ascii="Times New Roman" w:cs="Times New Roman" w:eastAsia="Times New Roman" w:hAnsi="Times New Roman"/>
          <w:sz w:val="21"/>
          <w:szCs w:val="21"/>
          <w:u w:val="single" w:color="auto"/>
          <w:color w:val="auto"/>
        </w:rPr>
        <w:t>Mandatory Borrowing</w:t>
      </w:r>
      <w:r>
        <w:rPr>
          <w:rFonts w:ascii="Times New Roman" w:cs="Times New Roman" w:eastAsia="Times New Roman" w:hAnsi="Times New Roman"/>
          <w:sz w:val="21"/>
          <w:szCs w:val="21"/>
          <w:color w:val="auto"/>
        </w:rPr>
        <w:t xml:space="preserve">”). Each Lender hereby irrevocably agrees to make its Applicable Percentage </w:t>
      </w:r>
      <w:r>
        <w:rPr>
          <w:rFonts w:ascii="Times New Roman" w:cs="Times New Roman" w:eastAsia="Times New Roman" w:hAnsi="Times New Roman"/>
          <w:sz w:val="21"/>
          <w:szCs w:val="21"/>
          <w:u w:val="single" w:color="auto"/>
          <w:color w:val="0000FF"/>
        </w:rPr>
        <w:t>with respect to all Revolving Credit Facilities</w:t>
      </w:r>
      <w:r>
        <w:rPr>
          <w:rFonts w:ascii="Times New Roman" w:cs="Times New Roman" w:eastAsia="Times New Roman" w:hAnsi="Times New Roman"/>
          <w:sz w:val="21"/>
          <w:szCs w:val="21"/>
          <w:color w:val="auto"/>
        </w:rPr>
        <w:t xml:space="preserve"> of such Revolving Credit Loans promptly upon any such request or deemed request on account of each Mandatory Borrowing in the amount and in the manner specified in the preceding sentence and on the same such date, notwithstanding (I) the amount of Mandatory Borrowing may not comply with the minimum amount for advances of Revolving Credit Loans otherwise required hereunder,</w:t>
      </w:r>
    </w:p>
    <w:p>
      <w:pPr>
        <w:jc w:val="both"/>
        <w:ind w:firstLine="8"/>
        <w:spacing w:after="0" w:line="246" w:lineRule="auto"/>
        <w:tabs>
          <w:tab w:leader="none" w:pos="3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any conditions specified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are then satisfied, (III) whether a Default then exists, (IV) failure for any such request or deemed request for Revolving Credit Loans to be made by the time otherwise required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(V) the date of such Mandatory Borrowing, or (VI) any reduction in the Revolving Credit Commitment or termination of the Revolving Credit Commitment relating thereto immediately prior to such Mandatory Borrowing or contemporaneously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Lender shall be required to make such Revolving Credit Loans if, at the time that the Swingline Lender agreed to fund any requested Swingline Borrowing, the Swingline Lender had knowledge of the existence of a Default or such Mandatory Borrowing would cause a Lender to exceed its Revolving Credit Commitment. In the event that any Mandatory Borrowing cannot for any reason be made on the date otherwise required above (including, without limitation, as a result of the commencement of any proceeding under any Debtor Relief Laws with respect to the Borrower or any other obligor hereunder), then each Revolving Credit Lender hereby agrees that it shall forthwith purchase (as of the date the Mandatory Borrowing would otherwise have occurred, but adjusted for any payments received from the Borrower on or after such date and prior to such purchase) from the Swingline Lender such participations in the outstanding Swingline Loans as shall be necessary to cause each such Revolving Credit Lender to share in such Swingline Loans ratably based upon its respective Applicable Percentage in respect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all</w:t>
      </w:r>
      <w:r>
        <w:rPr>
          <w:rFonts w:ascii="Times New Roman" w:cs="Times New Roman" w:eastAsia="Times New Roman" w:hAnsi="Times New Roman"/>
          <w:sz w:val="22"/>
          <w:szCs w:val="22"/>
          <w:color w:val="auto"/>
        </w:rPr>
        <w:t xml:space="preserve"> Revolving Credit </w:t>
      </w:r>
      <w:r>
        <w:rPr>
          <w:rFonts w:ascii="Times New Roman" w:cs="Times New Roman" w:eastAsia="Times New Roman" w:hAnsi="Times New Roman"/>
          <w:sz w:val="22"/>
          <w:szCs w:val="22"/>
          <w:color w:val="FF0000"/>
          <w:strike w:val="1"/>
        </w:rPr>
        <w:t>Facility</w:t>
      </w:r>
      <w:r>
        <w:rPr>
          <w:rFonts w:ascii="Times New Roman" w:cs="Times New Roman" w:eastAsia="Times New Roman" w:hAnsi="Times New Roman"/>
          <w:sz w:val="22"/>
          <w:szCs w:val="22"/>
          <w:u w:val="single" w:color="auto"/>
          <w:color w:val="0000FF"/>
        </w:rPr>
        <w:t>Facilities</w:t>
      </w:r>
      <w:r>
        <w:rPr>
          <w:rFonts w:ascii="Times New Roman" w:cs="Times New Roman" w:eastAsia="Times New Roman" w:hAnsi="Times New Roman"/>
          <w:sz w:val="22"/>
          <w:szCs w:val="22"/>
          <w:color w:val="auto"/>
        </w:rPr>
        <w:t xml:space="preserve"> (determined before giving effect to any termination of the Revolving Credit Commitment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all interest payable on the Swingline Loans shall be for the account of the Swingline Lender until the date as of which the respective participation is purchased, and (B) at the time any purchase of participations pursuant to this sentence is actually made, the purchasing Lender shall be required to pay (to the extent not paid by the Borrower) to the Swingline Lender interest on the principal amount of participation purchased for each day from and including the day upon which the Mandatory Borrowing would otherwise have occurred but excluding the date of payment for such participation, at the rate equal to, if paid within two Business Days of the date of the Mandatory Borrowing, the Federal Funds Rate, and thereafter at a rate equal to the Base Rate.</w:t>
      </w:r>
    </w:p>
    <w:p>
      <w:pPr>
        <w:spacing w:after="0" w:line="19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79" w:val="left"/>
        </w:tabs>
        <w:numPr>
          <w:ilvl w:val="1"/>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Interest on Swingline Loans</w:t>
      </w:r>
      <w:r>
        <w:rPr>
          <w:rFonts w:ascii="Times New Roman" w:cs="Times New Roman" w:eastAsia="Times New Roman" w:hAnsi="Times New Roman"/>
          <w:sz w:val="21"/>
          <w:szCs w:val="21"/>
          <w:color w:val="auto"/>
        </w:rPr>
        <w:t xml:space="preserve">. Swingline Loans shall bear interest at the simple per annum interest rate equal to the sum of (x) the Base Rate and (y) the Applicable Rate then in effect with respect to Base Rate Loans under the Revolving Credit Facility, computed on the basis of a year of 365/366 days for the actual number of days elapsed;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2" w:lineRule="exact"/>
        <w:rPr>
          <w:rFonts w:ascii="Times New Roman" w:cs="Times New Roman" w:eastAsia="Times New Roman" w:hAnsi="Times New Roman"/>
          <w:sz w:val="21"/>
          <w:szCs w:val="21"/>
          <w:color w:val="010000"/>
        </w:rPr>
      </w:pPr>
    </w:p>
    <w:p>
      <w:pPr>
        <w:jc w:val="both"/>
        <w:spacing w:after="0" w:line="24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xml:space="preserve">(i) from and after any failure to make any payment of principal or interest in respect of any of the Loans hereunder when due (after giving effect to any applicable grace period), whether at scheduled or accelerated maturity or on account of any mandatory prepayment or (ii) while any Swingline Loans in which the Lenders have acquired participations pursuant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xml:space="preserve"> remain outstanding, the principal of and, to the extent permitted by law, interest on, Swingline Loans shall bear interest, payable on demand, at the Default Rate. Interest 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xml:space="preserve">Swingline Loan shall be payable in arrears on the date payment of such Swingline Loan is due pursuant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2" w:lineRule="auto"/>
        <w:tabs>
          <w:tab w:leader="none" w:pos="1791"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Unless the Swingline Lender is the Administrative Agent, the Swingline Lender shall provide to the Administrative Agent, on Friday of each week and on each date the Administrative Agent notifies the Swingline Lender that the Borrower has delivered a Committed Loan Notice or the Administrative Agent otherwise requests the same, an accounting for the outstanding Swingline Loans in form reasonably satisfactory to the Administrative Agent.</w:t>
      </w:r>
    </w:p>
    <w:p>
      <w:pPr>
        <w:spacing w:after="0" w:line="192"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41"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Swingline Loans; Designation of Swingline Lender</w:t>
      </w:r>
      <w:r>
        <w:rPr>
          <w:rFonts w:ascii="Times New Roman" w:cs="Times New Roman" w:eastAsia="Times New Roman" w:hAnsi="Times New Roman"/>
          <w:sz w:val="22"/>
          <w:szCs w:val="22"/>
          <w:color w:val="auto"/>
        </w:rPr>
        <w:t>. Unless a Default then exists, the Swingline Lender shall give the Borrower and the Administrative Agent at least seven days’ prior written notice before exercising its discretion herein not to make Swingline Loans. The Borrower must give ten days’ prior written notice to the Administrative Agent of any change in designation of the Swingline Lender. The replaced Swingline Lender shall continue to be a “Swingline Lender” for purposes of repayment of any Swingline Loans made prior to such replacement and outstanding after such replacement.</w:t>
      </w:r>
    </w:p>
    <w:p>
      <w:pPr>
        <w:spacing w:after="0" w:line="181"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768" w:val="left"/>
        </w:tabs>
        <w:numPr>
          <w:ilvl w:val="0"/>
          <w:numId w:val="11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Provisions Related to Extended Revolving Credit Commitments. If the maturity date shall have occurred in respect of any tranche of Revolving Credit Commitments (the “Expiring Credit Commitment”) at a time when another tranche or tranches of Revolving Credit Commitments is or are in effect with a longer maturity date (each, a “Non-Expiring Credit Commitment” and collectively, the “Non-Expiring Credit Commitments”), then with respect to each outstanding Swingline Loan, if consented to by the applicable Swingline Lender, on the earliest occurring maturity date such Swingline Loan shall be deemed reallocated to the tranche or tranches of the Non-Expiring Credit Commitments on a pro rata basis; provided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2.16 </w:t>
      </w:r>
      <w:r>
        <w:rPr>
          <w:rFonts w:ascii="Times New Roman" w:cs="Times New Roman" w:eastAsia="Times New Roman" w:hAnsi="Times New Roman"/>
          <w:sz w:val="22"/>
          <w:szCs w:val="22"/>
          <w:color w:val="000000"/>
        </w:rPr>
        <w:t>Cash Collateral; Defaulting Lenders. (m) If any Lender becomes, and during the period it remains,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 Defaulting Lender, if any Letter of Credit or Swingline Loan is at the time outstanding, each L/C Issuer and the Swingline Lender, as the case may be, may (except, in the case of a Defaulting Lender, to the extent the Commitments have been reallocated pursuant to </w:t>
      </w:r>
      <w:r>
        <w:rPr>
          <w:rFonts w:ascii="Times New Roman" w:cs="Times New Roman" w:eastAsia="Times New Roman" w:hAnsi="Times New Roman"/>
          <w:sz w:val="22"/>
          <w:szCs w:val="22"/>
          <w:u w:val="single" w:color="auto"/>
          <w:color w:val="000000"/>
        </w:rPr>
        <w:t>Section 2.16(b)</w:t>
      </w:r>
      <w:r>
        <w:rPr>
          <w:rFonts w:ascii="Times New Roman" w:cs="Times New Roman" w:eastAsia="Times New Roman" w:hAnsi="Times New Roman"/>
          <w:sz w:val="22"/>
          <w:szCs w:val="22"/>
          <w:color w:val="000000"/>
        </w:rPr>
        <w:t>), by notice to the Company and such Defaulting Lender through the Administrative Agent, require the Borrower to Cash Collateralize the obligations of the Borrower to such L/C Issuer and the Swingline Lender in respect of such Letter of Credit or Swingline Loan, as the case may be, in amount at least equal to the aggregate amount of the unallocated obligations (contingent or otherwise) of such Defaulting Lender in respect thereof, or to make other arrangements satisfactory to the Administrative Agent, and to the L/C Issuers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-1191895</wp:posOffset>
            </wp:positionV>
            <wp:extent cx="21475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75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5" w:name="page126"/>
    <w:bookmarkEnd w:id="125"/>
    <w:p>
      <w:pPr>
        <w:spacing w:after="0" w:line="254" w:lineRule="auto"/>
        <w:rPr>
          <w:sz w:val="20"/>
          <w:szCs w:val="20"/>
          <w:color w:val="auto"/>
        </w:rPr>
      </w:pPr>
      <w:r>
        <w:rPr>
          <w:rFonts w:ascii="Times New Roman" w:cs="Times New Roman" w:eastAsia="Times New Roman" w:hAnsi="Times New Roman"/>
          <w:sz w:val="22"/>
          <w:szCs w:val="22"/>
          <w:color w:val="auto"/>
        </w:rPr>
        <w:t>Swingline Lender, as the case may be, in their reasonable discretion to protect them against the risk of non-payment by such Defaulting Lender.</w:t>
      </w:r>
    </w:p>
    <w:p>
      <w:pPr>
        <w:spacing w:after="0" w:line="2" w:lineRule="exact"/>
        <w:rPr>
          <w:sz w:val="20"/>
          <w:szCs w:val="20"/>
          <w:color w:val="auto"/>
        </w:rPr>
      </w:pPr>
    </w:p>
    <w:p>
      <w:pPr>
        <w:jc w:val="both"/>
        <w:ind w:firstLine="1304"/>
        <w:spacing w:after="0" w:line="245" w:lineRule="auto"/>
        <w:tabs>
          <w:tab w:leader="none" w:pos="1774"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to the other conditions precedent herein set forth, if any Lender becomes, and during the period it remains, a Defaulting Lender, no L/C Issuer will be required to issue any Letter of Credit or to amend any outstanding Letter of Credit, and the Swingline Lender will not be required to make any Swingline Loan, unless:</w:t>
      </w:r>
    </w:p>
    <w:p>
      <w:pPr>
        <w:spacing w:after="0" w:line="200" w:lineRule="exact"/>
        <w:rPr>
          <w:sz w:val="20"/>
          <w:szCs w:val="20"/>
          <w:color w:val="auto"/>
        </w:rPr>
      </w:pPr>
    </w:p>
    <w:p>
      <w:pPr>
        <w:jc w:val="both"/>
        <w:ind w:left="660" w:firstLine="644"/>
        <w:spacing w:after="0" w:line="257" w:lineRule="auto"/>
        <w:tabs>
          <w:tab w:leader="none" w:pos="1769"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a Defaulting Lender, the L/C Obligations and the Outstanding Amount of Swingline Loans of such Defaulting Lender is reallocated, as to outstanding and future Letters of Credit and Swingline Loans, to the Non-Defaulting Lenders as provided in clause (i) of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 and</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1" w:lineRule="auto"/>
        <w:tabs>
          <w:tab w:leader="none" w:pos="2028"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full reallocation does not occur as provided in clause (i) above, the Borrower Cash Collateralizes the obligations of the Borrower in respect of such Letter of Credit or Swingline Loan in an amount at least equal to the aggregate amount of the unallocated obligations (contingent or otherwise) of such Defaulting Lender in respect of such Letter of Credit or Swingline Loan, or makes other arrangements satisfactory to the Administrative Agent, the L/C Issuers and the Swingline Lender in their reasonable discretion to protect them against the risk of non-payment by such Defaulting Lender, or</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48" w:lineRule="auto"/>
        <w:tabs>
          <w:tab w:leader="none" w:pos="1861"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neither reallocation nor Cash Collateralization occurs pursuant to clauses (i) or (ii), then in the case of a proposed issuance of a Letter of Credit or making of a Swingline Loan, by an instrument or instruments in form and substance satisfactory to the Administrative Agent, and to the relevant L/C Issuer and the Swingline Lender, as the case may be, (i) the Borrower agrees that the face amount of such requested Letter of Credit or the principal amount of such requested Swingline Loan will be reduced by an amount equal to the unallocated, non Cash-Collateralized portion thereof as to which such Defaulting Lender would otherwise be liable, and (ii) the Non-Defaulting Lenders confirm, in their discretion, that their obligations in respect of such Letter of Credit or Swingline Loan shall be reduced on a pro rata basis in accordance with the Commitments of the Non-Defaulting Lenders, and that the pro rata payment provisions of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will be deemed adjusted to reflect this provision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(iii) will be deemed to increase the Commitment of any Lender, nor to constitute a waiver or release of any claim the Borrower, the Administrative Agent, any L/C Issuer, the Swingline Lender or any other Lender may have against such Defaulting Lender, nor to cause such Defaulting Lender to be a Non-Defaulting Lender).</w:t>
      </w:r>
    </w:p>
    <w:p>
      <w:pPr>
        <w:spacing w:after="0" w:line="198" w:lineRule="exact"/>
        <w:rPr>
          <w:sz w:val="20"/>
          <w:szCs w:val="20"/>
          <w:color w:val="auto"/>
        </w:rPr>
      </w:pPr>
    </w:p>
    <w:p>
      <w:pPr>
        <w:jc w:val="both"/>
        <w:ind w:firstLine="1304"/>
        <w:spacing w:after="0" w:line="257" w:lineRule="auto"/>
        <w:tabs>
          <w:tab w:leader="none" w:pos="1814"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Lender becomes, and during the period it remains, a Defaulting Lender, the following provisions shall apply with respect to any outstanding L/C Obligations and any Outstanding Amount of Swingline Loans of such Defaulting Lender:</w:t>
      </w:r>
    </w:p>
    <w:p>
      <w:pPr>
        <w:spacing w:after="0" w:line="173" w:lineRule="exact"/>
        <w:rPr>
          <w:sz w:val="20"/>
          <w:szCs w:val="20"/>
          <w:color w:val="auto"/>
        </w:rPr>
      </w:pPr>
    </w:p>
    <w:p>
      <w:pPr>
        <w:jc w:val="both"/>
        <w:ind w:left="660" w:firstLine="644"/>
        <w:spacing w:after="0" w:line="256" w:lineRule="auto"/>
        <w:tabs>
          <w:tab w:leader="none" w:pos="1776"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L/C Obligations and the Outstanding Amount of Swingline Loans of such Defaulting Lender will, upon notice by the Administrative Agent, and subject in any event to the limitation in the proviso below, automatically be reallocated (effective on the day such Lender becomes a Defaulting Lender) among the Non-Defaulting Lenders pro rata in accordance with their respective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6" w:name="page127"/>
    <w:bookmarkEnd w:id="126"/>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set forth in </w:t>
      </w:r>
      <w:r>
        <w:rPr>
          <w:rFonts w:ascii="Times New Roman" w:cs="Times New Roman" w:eastAsia="Times New Roman" w:hAnsi="Times New Roman"/>
          <w:sz w:val="22"/>
          <w:szCs w:val="22"/>
          <w:u w:val="single" w:color="auto"/>
          <w:color w:val="auto"/>
        </w:rPr>
        <w:t>Sections 5.02(a)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are satisfied at the time of such reallocation (with such reallocation being deemed a Credit Extension for purposes of such conditions), (b) the sum of the total outstanding Revolving Credit Loans and Swingline Loans owed to each Non-Defaulting Lender and its total L/C Obligations may not in any event exceed the Commitment of such Non-Defaulting Lender as in effect at the time of such reallocation, (c) subject to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 such reallocation will not constitute a waiver or release of any claim the Borrower, the Administrative Agent, any L/C Issuer, the Swingline Lender or any other Lender may have against such Defaulting Lender, and (d) neither such reallocation nor any payment by a Non-Defaulting Lender as a result thereof will cause such Defaulting Lender to be a Non-Defaulting Lender;</w:t>
      </w:r>
    </w:p>
    <w:p>
      <w:pPr>
        <w:spacing w:after="0" w:line="182" w:lineRule="exact"/>
        <w:rPr>
          <w:sz w:val="20"/>
          <w:szCs w:val="20"/>
          <w:color w:val="auto"/>
        </w:rPr>
      </w:pPr>
    </w:p>
    <w:p>
      <w:pPr>
        <w:jc w:val="both"/>
        <w:ind w:left="660" w:firstLine="644"/>
        <w:spacing w:after="0" w:line="263" w:lineRule="auto"/>
        <w:tabs>
          <w:tab w:leader="none" w:pos="1837" w:val="left"/>
        </w:tabs>
        <w:numPr>
          <w:ilvl w:val="0"/>
          <w:numId w:val="1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that any portion (the “</w:t>
      </w:r>
      <w:r>
        <w:rPr>
          <w:rFonts w:ascii="Times New Roman" w:cs="Times New Roman" w:eastAsia="Times New Roman" w:hAnsi="Times New Roman"/>
          <w:sz w:val="21"/>
          <w:szCs w:val="21"/>
          <w:u w:val="single" w:color="auto"/>
          <w:color w:val="auto"/>
        </w:rPr>
        <w:t>unreallocated portion</w:t>
      </w:r>
      <w:r>
        <w:rPr>
          <w:rFonts w:ascii="Times New Roman" w:cs="Times New Roman" w:eastAsia="Times New Roman" w:hAnsi="Times New Roman"/>
          <w:sz w:val="21"/>
          <w:szCs w:val="21"/>
          <w:color w:val="auto"/>
        </w:rPr>
        <w:t>”) of the Defaulting Lender’s L/C Obligations and Outstanding Amounts of Swingline Loans cannot be so reallocated, whether by reason of the proviso in clause (i) above or otherwise, the Borrower will, not later than three Business Days after demand by the Administrative Agent, (a) Cash Collateralize the obligations of the Borrower to the L/C Issuers and the Swingline Lender in respect of such L/C Obligations or Outstanding Amounts of Swingline Loans, as the case may be, in an amount at least equal to the aggregate amount of the unreallocated portion of such L/C Obligations or Outstanding Amounts of Swingline Loans, (b) in the case of such Outstanding Amount of Swingline Loans prepay in full the unreallocated portion thereof, or (c) make other arrangements satisfactory to the Administrative Agent, and to the L/C Issuers and the Swingline Lender, as the case may be, in their reasonable discretion to protect them against the risk of non-payment by such Defaulting Lender; and</w:t>
      </w:r>
    </w:p>
    <w:p>
      <w:pPr>
        <w:spacing w:after="0" w:line="169" w:lineRule="exact"/>
        <w:rPr>
          <w:rFonts w:ascii="Times New Roman" w:cs="Times New Roman" w:eastAsia="Times New Roman" w:hAnsi="Times New Roman"/>
          <w:sz w:val="21"/>
          <w:szCs w:val="21"/>
          <w:color w:val="010000"/>
        </w:rPr>
      </w:pPr>
    </w:p>
    <w:p>
      <w:pPr>
        <w:jc w:val="both"/>
        <w:ind w:left="660" w:firstLine="644"/>
        <w:spacing w:after="0" w:line="251" w:lineRule="auto"/>
        <w:tabs>
          <w:tab w:leader="none" w:pos="1964"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amount paid by the Borrower for the account of a Defaulting Lender under this Credit Agreement (whether on account of principal, interest, fees, indemnity payments or other amounts) will not be paid or distributed to such Defaulting Lender, but shall instead be retained by the Administrative Agent in a segregated escrow account until (subject to </w:t>
      </w:r>
      <w:r>
        <w:rPr>
          <w:rFonts w:ascii="Times New Roman" w:cs="Times New Roman" w:eastAsia="Times New Roman" w:hAnsi="Times New Roman"/>
          <w:sz w:val="22"/>
          <w:szCs w:val="22"/>
          <w:u w:val="single" w:color="auto"/>
          <w:color w:val="auto"/>
        </w:rPr>
        <w:t>Section 2.16(e)</w:t>
      </w:r>
      <w:r>
        <w:rPr>
          <w:rFonts w:ascii="Times New Roman" w:cs="Times New Roman" w:eastAsia="Times New Roman" w:hAnsi="Times New Roman"/>
          <w:sz w:val="22"/>
          <w:szCs w:val="22"/>
          <w:color w:val="auto"/>
        </w:rPr>
        <w:t>) the termination of the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81" w:lineRule="exact"/>
        <w:rPr>
          <w:sz w:val="20"/>
          <w:szCs w:val="20"/>
          <w:color w:val="auto"/>
        </w:rPr>
      </w:pPr>
    </w:p>
    <w:p>
      <w:pPr>
        <w:ind w:left="660"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under this Credit Agreement,</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payment of any amounts owing by such Defaulting Lender to the L/C Issuers or the Swingline Lender (pro rata as to the respective amounts owing to each of them) under this Credit Agreement,</w:t>
      </w:r>
    </w:p>
    <w:p>
      <w:pPr>
        <w:spacing w:after="0" w:line="144"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the payment of post-default interest and then current interest due and payable to the Non-Defaulting Lenders hereunder, ratably among them in accordance with the amounts of such interest then due and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7" w:name="page128"/>
    <w:bookmarkEnd w:id="127"/>
    <w:p>
      <w:pPr>
        <w:jc w:val="both"/>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payment of fees then due and payable to the Non-Defaulting Lenders hereunder, ratably among them in accordance with the amounts of such fees then due and payable to them,</w:t>
      </w:r>
    </w:p>
    <w:p>
      <w:pPr>
        <w:spacing w:after="0" w:line="158"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pay principal and unreimbursed L/C Borrowings then due and payable to the Non-Defaulting Lenders hereunder ratably in accordance with the amounts thereof then due and payable to them,</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the ratable payment of other amounts then due and payable to the Non-Defaulting Lenders, and</w:t>
      </w:r>
    </w:p>
    <w:p>
      <w:pPr>
        <w:spacing w:after="0" w:line="233"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color w:val="auto"/>
        </w:rPr>
        <w:t xml:space="preserve"> after the termination of the Commitments and payment in full of all obligations of the Borrower hereunder, to pay amounts owing under this Credit Agreement to such Defaulting Lender or as a court of competent jurisdiction may otherwise direct.</w:t>
      </w:r>
    </w:p>
    <w:p>
      <w:pPr>
        <w:spacing w:after="0" w:line="173" w:lineRule="exact"/>
        <w:rPr>
          <w:sz w:val="20"/>
          <w:szCs w:val="20"/>
          <w:color w:val="auto"/>
        </w:rPr>
      </w:pPr>
    </w:p>
    <w:p>
      <w:pPr>
        <w:jc w:val="both"/>
        <w:ind w:firstLine="1304"/>
        <w:spacing w:after="0" w:line="252" w:lineRule="auto"/>
        <w:tabs>
          <w:tab w:leader="none" w:pos="1896" w:val="left"/>
        </w:tabs>
        <w:numPr>
          <w:ilvl w:val="1"/>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furtherance of the foregoing, if any Lender becomes, and during the period it remains, a Defaulting Lender, each of the L/C Issuers and the Swingline Lender is hereby authorized by the Borrower (which authorization is irrevocable and coupled with an interest) to give, through the Administrative Agent, Committed Loan Notices pursuant to </w:t>
      </w:r>
      <w:r>
        <w:rPr>
          <w:rFonts w:ascii="Times New Roman" w:cs="Times New Roman" w:eastAsia="Times New Roman" w:hAnsi="Times New Roman"/>
          <w:sz w:val="22"/>
          <w:szCs w:val="22"/>
          <w:u w:val="single" w:color="auto"/>
          <w:color w:val="auto"/>
        </w:rPr>
        <w:t>Section 2.03(c)(v)</w:t>
      </w:r>
      <w:r>
        <w:rPr>
          <w:rFonts w:ascii="Times New Roman" w:cs="Times New Roman" w:eastAsia="Times New Roman" w:hAnsi="Times New Roman"/>
          <w:sz w:val="22"/>
          <w:szCs w:val="22"/>
          <w:color w:val="auto"/>
        </w:rPr>
        <w:t xml:space="preserve"> in such amounts and in such times as may be required to (i) reimburse an outstanding L/C Borrowing,</w:t>
      </w:r>
    </w:p>
    <w:p>
      <w:pPr>
        <w:jc w:val="both"/>
        <w:ind w:firstLine="8"/>
        <w:spacing w:after="0" w:line="245" w:lineRule="auto"/>
        <w:tabs>
          <w:tab w:leader="none" w:pos="33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repay an outstanding Swingline Loans, or (iii) Cash Collateralize the obligations of the Borrower in respect of outstanding Letters of Credit or Swingline Loans in an amount at least equal to the aggregate amount of the unallocated obligations (contingent or otherwise) of such Defaulting Lender in respect of such Letter of Credit or Swingline Loan.</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8"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the Administrative Agent, the L/C Issuers and the Swingline Lender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escrow account referred to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 xml:space="preserve">), such Lender shall purchase at par such portions of the outstanding Loans of the other Lenders, and/or make such other adjustments, as the Administrative Agent may determine to be necessary to cause the Lenders to hold Loans on a pro rata basis in accordance with their respective Commitments, whereupon such Lender shall cease to be a Defaulting Lender and will be a Non-Defaulting Lender (and the L/C Obligations and Outstanding Amount of Swingline Loans of each Lender shall automatically be adjusted on a prospective basis to reflect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shall be made retroactively with respect to fees accrued or payments made by or on behalf of the Borrower and applied as set forth in </w:t>
      </w:r>
      <w:r>
        <w:rPr>
          <w:rFonts w:ascii="Times New Roman" w:cs="Times New Roman" w:eastAsia="Times New Roman" w:hAnsi="Times New Roman"/>
          <w:sz w:val="22"/>
          <w:szCs w:val="22"/>
          <w:u w:val="single" w:color="auto"/>
          <w:color w:val="auto"/>
        </w:rPr>
        <w:t>Section 2.16(c)(iii)</w:t>
      </w:r>
      <w:r>
        <w:rPr>
          <w:rFonts w:ascii="Times New Roman" w:cs="Times New Roman" w:eastAsia="Times New Roman" w:hAnsi="Times New Roman"/>
          <w:sz w:val="22"/>
          <w:szCs w:val="22"/>
          <w:color w:val="auto"/>
        </w:rPr>
        <w:t xml:space="preserve"> while such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8" w:name="page129"/>
    <w:bookmarkEnd w:id="128"/>
    <w:p>
      <w:pPr>
        <w:jc w:val="both"/>
        <w:ind w:firstLine="1304"/>
        <w:spacing w:after="0" w:line="251" w:lineRule="auto"/>
        <w:tabs>
          <w:tab w:leader="none" w:pos="1767"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any Lender is a Defaulting Lender, the Company may, upon at least five Business Days’ written notice to the Administrative Agent (which shall then give prompt notice thereof to the relevant Lender), replace such Lender with an Eligible Assignee selected by the Company in accordance with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Event of Default shall have occurred and be continuing at the time of such request and at the time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assigning Lender’s rights under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and its obligations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shall survive such assignment as to matters occurring prior to the date of assignment.</w:t>
      </w:r>
    </w:p>
    <w:p>
      <w:pPr>
        <w:spacing w:after="0" w:line="181" w:lineRule="exact"/>
        <w:rPr>
          <w:sz w:val="20"/>
          <w:szCs w:val="20"/>
          <w:color w:val="auto"/>
        </w:rPr>
      </w:pPr>
    </w:p>
    <w:p>
      <w:pPr>
        <w:ind w:left="1300"/>
        <w:spacing w:after="0"/>
        <w:tabs>
          <w:tab w:leader="none" w:pos="2860" w:val="left"/>
          <w:tab w:leader="none" w:pos="5000" w:val="left"/>
        </w:tabs>
        <w:rPr>
          <w:sz w:val="20"/>
          <w:szCs w:val="20"/>
          <w:color w:val="auto"/>
        </w:rPr>
      </w:pPr>
      <w:r>
        <w:rPr>
          <w:rFonts w:ascii="Times New Roman" w:cs="Times New Roman" w:eastAsia="Times New Roman" w:hAnsi="Times New Roman"/>
          <w:sz w:val="22"/>
          <w:szCs w:val="22"/>
          <w:color w:val="010000"/>
        </w:rPr>
        <w:t>Section 2.17</w:t>
      </w:r>
      <w:r>
        <w:rPr>
          <w:sz w:val="20"/>
          <w:szCs w:val="20"/>
          <w:color w:val="auto"/>
        </w:rPr>
        <w:tab/>
      </w:r>
      <w:r>
        <w:rPr>
          <w:rFonts w:ascii="Times New Roman" w:cs="Times New Roman" w:eastAsia="Times New Roman" w:hAnsi="Times New Roman"/>
          <w:sz w:val="22"/>
          <w:szCs w:val="22"/>
          <w:color w:val="auto"/>
        </w:rPr>
        <w:t>Borrower Agent</w:t>
      </w:r>
      <w:r>
        <w:rPr>
          <w:rFonts w:ascii="Times New Roman" w:cs="Times New Roman" w:eastAsia="Times New Roman" w:hAnsi="Times New Roman"/>
          <w:sz w:val="22"/>
          <w:szCs w:val="22"/>
          <w:color w:val="010000"/>
        </w:rPr>
        <w:t>(a)</w:t>
      </w:r>
      <w:r>
        <w:rPr>
          <w:sz w:val="20"/>
          <w:szCs w:val="20"/>
          <w:color w:val="auto"/>
        </w:rPr>
        <w:tab/>
      </w:r>
      <w:r>
        <w:rPr>
          <w:rFonts w:ascii="Times New Roman" w:cs="Times New Roman" w:eastAsia="Times New Roman" w:hAnsi="Times New Roman"/>
          <w:sz w:val="22"/>
          <w:szCs w:val="22"/>
          <w:color w:val="auto"/>
        </w:rPr>
        <w:t>. Each Additional Borrower hereby designates the Company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-13970</wp:posOffset>
            </wp:positionV>
            <wp:extent cx="1212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representative and agent (in such capacity, the “</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for all purposes under the Loan Documents, including requests for Loans and Letters of Credit, designation of interest rates, delivery or receipt of communications, preparation and delivery of financial reports, receipt and payment of Obligations, requests for waivers, amendments or other accommodations, actions under the Loan Documents (including in respect of compliance with covenants), and all other dealings with the Administrative Agent, any L/C Issuer or any Lender. The Borrower Agent hereby accepts such appointment. The Administrative Agent, the L/C Issuers and the Lenders shall be entitled to rely upon, and shall be fully protected in relying upon, any notice or communication (including any notice of borrowing) delivered by Borrower Agent on behalf of any Borrower. The Administrative Agent, the L/C Issuers and the Lenders may give any notice or communication with a Borrower hereunder to the Borrower Agent on behalf of such Borrower. Each of the Administrative Agent, the L/C Issuers and the Lenders shall have the right, in its discretion, to deal exclusively with the Borrower Agent for any or all purposes under the Loan Documents. Each Borrower agrees that any notice, election, communication, representation, agreement or undertaking made on its behalf by the Borrower Agent shall be binding upon and enforceable against it.</w:t>
      </w:r>
    </w:p>
    <w:p>
      <w:pPr>
        <w:spacing w:after="0" w:line="6" w:lineRule="exact"/>
        <w:rPr>
          <w:sz w:val="20"/>
          <w:szCs w:val="20"/>
          <w:color w:val="auto"/>
        </w:rPr>
      </w:pPr>
    </w:p>
    <w:p>
      <w:pPr>
        <w:ind w:left="1300"/>
        <w:spacing w:after="0"/>
        <w:tabs>
          <w:tab w:leader="none" w:pos="2580" w:val="left"/>
          <w:tab w:leader="none" w:pos="8560" w:val="left"/>
        </w:tabs>
        <w:rPr>
          <w:sz w:val="20"/>
          <w:szCs w:val="20"/>
          <w:color w:val="auto"/>
        </w:rPr>
      </w:pPr>
      <w:r>
        <w:rPr>
          <w:rFonts w:ascii="Times New Roman" w:cs="Times New Roman" w:eastAsia="Times New Roman" w:hAnsi="Times New Roman"/>
          <w:sz w:val="22"/>
          <w:szCs w:val="22"/>
          <w:color w:val="010000"/>
        </w:rPr>
        <w:t>Section 2.18</w:t>
      </w:r>
      <w:r>
        <w:rPr>
          <w:rFonts w:ascii="Times New Roman" w:cs="Times New Roman" w:eastAsia="Times New Roman" w:hAnsi="Times New Roman"/>
          <w:sz w:val="22"/>
          <w:szCs w:val="22"/>
          <w:color w:val="auto"/>
        </w:rPr>
        <w:tab/>
        <w:t>Extension of Term Loans; Extension of Revolving Credit Loans</w:t>
      </w:r>
      <w:r>
        <w:rPr>
          <w:rFonts w:ascii="Times New Roman" w:cs="Times New Roman" w:eastAsia="Times New Roman" w:hAnsi="Times New Roman"/>
          <w:sz w:val="22"/>
          <w:szCs w:val="22"/>
          <w:color w:val="010000"/>
        </w:rPr>
        <w:t>(a)</w:t>
      </w:r>
      <w:r>
        <w:rPr>
          <w:rFonts w:ascii="Times New Roman" w:cs="Times New Roman" w:eastAsia="Times New Roman" w:hAnsi="Times New Roman"/>
          <w:sz w:val="22"/>
          <w:szCs w:val="22"/>
          <w:color w:val="auto"/>
        </w:rPr>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3647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jc w:val="both"/>
        <w:ind w:firstLine="1304"/>
        <w:spacing w:after="0" w:line="246" w:lineRule="auto"/>
        <w:tabs>
          <w:tab w:leader="none" w:pos="1752"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Extension of Term Loans</w:t>
      </w:r>
      <w:r>
        <w:rPr>
          <w:rFonts w:ascii="Times New Roman" w:cs="Times New Roman" w:eastAsia="Times New Roman" w:hAnsi="Times New Roman"/>
          <w:sz w:val="22"/>
          <w:szCs w:val="22"/>
          <w:color w:val="auto"/>
        </w:rPr>
        <w:t>. The Borrower may at any time and from time to time request that all or a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 Loans of a given class or classes (each, an “</w:t>
      </w:r>
      <w:r>
        <w:rPr>
          <w:rFonts w:ascii="Times New Roman" w:cs="Times New Roman" w:eastAsia="Times New Roman" w:hAnsi="Times New Roman"/>
          <w:sz w:val="22"/>
          <w:szCs w:val="22"/>
          <w:u w:val="single" w:color="auto"/>
          <w:color w:val="auto"/>
        </w:rPr>
        <w:t>Existing Term Loan Tranche</w:t>
      </w:r>
      <w:r>
        <w:rPr>
          <w:rFonts w:ascii="Times New Roman" w:cs="Times New Roman" w:eastAsia="Times New Roman" w:hAnsi="Times New Roman"/>
          <w:sz w:val="22"/>
          <w:szCs w:val="22"/>
          <w:color w:val="auto"/>
        </w:rPr>
        <w:t>”) be amended to extend the scheduled Maturity Date with respect to all or a portion of the Term Loans of such Existing Term Loan Tranche (any such Term Loans which have been so amended, “</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xml:space="preserve">”) and to provide for other terms consistent with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In order to establish any Extended Term Loans, the Borrower shall provide notice to the Administrative Agent (who shall promptly provide a copy of such notice to each of the Lenders under the applicable Existing Term Loan Tranche) (each, a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Extension Request</w:t>
      </w:r>
      <w:r>
        <w:rPr>
          <w:rFonts w:ascii="Times New Roman" w:cs="Times New Roman" w:eastAsia="Times New Roman" w:hAnsi="Times New Roman"/>
          <w:sz w:val="22"/>
          <w:szCs w:val="22"/>
          <w:color w:val="auto"/>
        </w:rPr>
        <w:t>”) setting forth the proposed terms of the Extended Term Loans to be established, which shall (i) be identical as offered to each Lender under the same class in such Existing Term Loan Tranche (including as to the proposed interest rates and fees payable, but excluding any arrangement, structuring or other similar fees payable in connection therewith that are not generally shared with all relevant Lenders of such class) and offered pro rata to each Lender under the same class in such Existing Term Loan Tranche; (ii) except as to interest rates, fees, amortization, final maturity date, “AHYDO” payments, optional prepayments, premium, required prepayment dates and participation in prepayments, which shall, subject to clause (E) in the proviso below, be determined by the Borrower and the Extending Term Lenders and set forth in the relevant Term Loan Extension Request, reflecting market terms and conditions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29" w:name="page130"/>
    <w:bookmarkEnd w:id="12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of incurrence or issuance (as reasonably determined by the Borrower); (iii) all or any of the scheduled amortization payments of principal, if any, of the Extended Term Loans may be delayed to later dates than the scheduled amortization payments of principal of the Extended Term Loans of such Existing Term Loan Tranche, to the extent provided in the applicable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at no time shall there be classes of Extended Term Loans hereunder which have more than three (3) different Maturity Dates; (iv) the Effective Yield with respect to the Extended Term Loans (whether in the form of interest rate margin, upfront fees, original issue discount or otherwise) may be different than the Effective Yield for the Term Loans of such Existing Term Loan Tranche, in each case, to the extent provided in the applicable Extension Amendment; (v) the Extension Amendment may provide for other covenants (as determined by the Borrower and the Lenders extending) and terms that apply solely to any period after the Maturity Date that is in effect on the effective date of the Extension Amendment (immediately prior to the establishment of such Extended Term Loans); and (vi) subject to clause (E) in the proviso below, Extended Term Loans may have prepayment terms (including call protection) as may be agreed by the Borrower and the Lenders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clause (E) in the proviso below, no Extended Term Loans may be optionally prepaid prior to the date on which all Terms Loans with an earlier final stated maturity date (including Term Loans under the Existing Term Loan Tranche from which they were amended) are repaid in full, unless such optional prepayment is accompanied by a pro rata optional prepayment of such other Terms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(i) no Default shall have occurred and be continuing at the time a Term Loan Extension Request is delivered to Lenders and (ii) the representations and warranties of the Borrower and each other Loan Party in Article VI hereof or any other Loan Document, or which are contained in any document furnished at any time under or in connection herewith or therewith, shall be true and correct, in all material respects, on and as of the date a Term Loan Extension Request is delivered to the Lenders with the same force and effect as if made on and as of such date, except to the extent that such representations and warranties expressly relate to an earlier date, in which case they shall be true and correct, in all material respects, as of such earlier date, and except that for purposes of this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the representations and warranties contained in Section 6.04(a) and (b) shall be deemed to refer to the most recent statements furnished pursuant to Section 7.01(b) and (a), respectively, (B) in no event shall the Maturity Date of any Extended Term Loans of a given Term Loan Extension Series at the time of the establishment thereof be earlier than the then Maturity Date of the Existing Term Loan Tranche, (C) the weighted average life to maturity of any Extended Term Loans of a given Term Loan Extension Series at the time of establishment thereof shall be no shorter (other than by virtue of amortization or prepayment of such Indebtedness prior to the incurrence of such Extended Term Loans) the remaining weighted average life to maturity of the applicable Existing Term Loan Tranche, (D) all documentation in respect of such Extension Amendment shall be consistent with the foregoing and (E) any Extended Term Loans may participate on a pro rata basis or less than a pro rata basis (but not greater than a pro rata basis) in any voluntary or mandatory repayments or prepayments of principal of Term Loans hereunder, in each case as specified in the respective Term Loan Extension Request. Any Extended Term Loans amended pursuant to any Term Loan Extension Request shall be designated a series (each, a “</w:t>
      </w:r>
      <w:r>
        <w:rPr>
          <w:rFonts w:ascii="Times New Roman" w:cs="Times New Roman" w:eastAsia="Times New Roman" w:hAnsi="Times New Roman"/>
          <w:sz w:val="22"/>
          <w:szCs w:val="22"/>
          <w:u w:val="single" w:color="auto"/>
          <w:color w:val="auto"/>
        </w:rPr>
        <w:t>Term Loan Extension Series</w:t>
      </w:r>
      <w:r>
        <w:rPr>
          <w:rFonts w:ascii="Times New Roman" w:cs="Times New Roman" w:eastAsia="Times New Roman" w:hAnsi="Times New Roman"/>
          <w:sz w:val="22"/>
          <w:szCs w:val="22"/>
          <w:color w:val="auto"/>
        </w:rPr>
        <w:t xml:space="preserve">”) of Extended Term Loans for all purposes of this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Extended Term Loans amended from an Existing Term Loan Tranche may, to the extent provided in the applicable Extension Amendment, be designated as an increase in any previously established class of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Loans (in which case scheduled amortization with respect thereto shall be proportionately increased). Each request for Extended Term Loans proposed to be incurred under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shall be in an aggregate principal amount that is not less than 50% of the applicable Class of Loans and Commitments and the Borrower may impose an Extension Minimum Condition with respect to any Term Loan Extension Request, which may be waived by the Borrower in its sole discretion.</w:t>
      </w:r>
    </w:p>
    <w:p>
      <w:pPr>
        <w:spacing w:after="0" w:line="175" w:lineRule="exact"/>
        <w:rPr>
          <w:sz w:val="20"/>
          <w:szCs w:val="20"/>
          <w:color w:val="auto"/>
        </w:rPr>
      </w:pPr>
    </w:p>
    <w:p>
      <w:pPr>
        <w:jc w:val="both"/>
        <w:ind w:firstLine="1304"/>
        <w:spacing w:after="0" w:line="259" w:lineRule="auto"/>
        <w:tabs>
          <w:tab w:leader="none" w:pos="1804" w:val="left"/>
        </w:tabs>
        <w:numPr>
          <w:ilvl w:val="1"/>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Extension of Revolving Credit Commitments</w:t>
      </w:r>
      <w:r>
        <w:rPr>
          <w:rFonts w:ascii="Times New Roman" w:cs="Times New Roman" w:eastAsia="Times New Roman" w:hAnsi="Times New Roman"/>
          <w:sz w:val="21"/>
          <w:szCs w:val="21"/>
          <w:color w:val="auto"/>
        </w:rPr>
        <w:t>. The Borrower may at any time and from time to time request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all or a portion of the Revolving Credit Commitments of a given class or classes (each, an “</w:t>
      </w:r>
      <w:r>
        <w:rPr>
          <w:rFonts w:ascii="Times New Roman" w:cs="Times New Roman" w:eastAsia="Times New Roman" w:hAnsi="Times New Roman"/>
          <w:sz w:val="21"/>
          <w:szCs w:val="21"/>
          <w:u w:val="single" w:color="auto"/>
          <w:color w:val="auto"/>
        </w:rPr>
        <w:t>Existing Revolver Tranche</w:t>
      </w:r>
      <w:r>
        <w:rPr>
          <w:rFonts w:ascii="Times New Roman" w:cs="Times New Roman" w:eastAsia="Times New Roman" w:hAnsi="Times New Roman"/>
          <w:sz w:val="21"/>
          <w:szCs w:val="21"/>
          <w:color w:val="auto"/>
        </w:rPr>
        <w:t>”) be amended to extend the Maturity Date with respect to all or a portion of any principal amount of such Revolving Credit Commitments (any such Revolving Credit Commitments which have been so amended, “</w:t>
      </w:r>
      <w:r>
        <w:rPr>
          <w:rFonts w:ascii="Times New Roman" w:cs="Times New Roman" w:eastAsia="Times New Roman" w:hAnsi="Times New Roman"/>
          <w:sz w:val="21"/>
          <w:szCs w:val="21"/>
          <w:u w:val="single" w:color="auto"/>
          <w:color w:val="auto"/>
        </w:rPr>
        <w:t>Extended Revolving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Commitments</w:t>
      </w:r>
      <w:r>
        <w:rPr>
          <w:rFonts w:ascii="Times New Roman" w:cs="Times New Roman" w:eastAsia="Times New Roman" w:hAnsi="Times New Roman"/>
          <w:sz w:val="21"/>
          <w:szCs w:val="21"/>
          <w:color w:val="auto"/>
        </w:rPr>
        <w:t xml:space="preserve">”) and to provide for other terms consistent with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In order to establish any Extended Revolving Credit Commitments, the Borrower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21"/>
          <w:szCs w:val="21"/>
          <w:u w:val="single" w:color="auto"/>
          <w:color w:val="auto"/>
        </w:rPr>
        <w:t>Revolver Extension Request</w:t>
      </w:r>
      <w:r>
        <w:rPr>
          <w:rFonts w:ascii="Times New Roman" w:cs="Times New Roman" w:eastAsia="Times New Roman" w:hAnsi="Times New Roman"/>
          <w:sz w:val="21"/>
          <w:szCs w:val="21"/>
          <w:color w:val="auto"/>
        </w:rPr>
        <w:t>”) setting forth the proposed terms of the Extended Revolving Credit Commitments to be established, which shall (x) be identical as offered to each Lender under the same class in such Existing Revolver Tranche (including as to the proposed interest rates and fees payable, but excluding any arrangement, structuring or other fees payable in connection therewith that are not generally shared with all relevant Lenders of such class) and offered pro rata to each Lender under the same class in such Existing Revolver Tranche and</w:t>
      </w:r>
    </w:p>
    <w:p>
      <w:pPr>
        <w:spacing w:after="0" w:line="9" w:lineRule="exact"/>
        <w:rPr>
          <w:rFonts w:ascii="Times New Roman" w:cs="Times New Roman" w:eastAsia="Times New Roman" w:hAnsi="Times New Roman"/>
          <w:sz w:val="21"/>
          <w:szCs w:val="21"/>
          <w:color w:val="010000"/>
        </w:rPr>
      </w:pPr>
    </w:p>
    <w:p>
      <w:pPr>
        <w:jc w:val="both"/>
        <w:ind w:firstLine="8"/>
        <w:spacing w:after="0" w:line="246" w:lineRule="auto"/>
        <w:tabs>
          <w:tab w:leader="none" w:pos="30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to interest rates, fees, optional redemption or prepayment terms, final maturity, and after the final maturity date, any other covenants and provisions (which shall, subject to clause (iv) below, be determined by the Borrower and the Extending Revolving Credit Lenders and set forth in the relevant Revolver Extension Request), the Extended Revolving Credit Commitment extended pursuant to an Revolver Extension Request, and the related outstandings, shall be a Revolving Credit Commitment (or related outstandings, as the case may be) which shall reflect market terms and conditions at the time of the Extension (as determined by the Borrower): (i) the Maturity Date of the Extended Revolving Credit Commitments may be delayed to a later date than the Maturity Date of the Revolving Credit Commitments of such Existing Revolver Tranche, to the extent provided in the applicable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no time shall there be classes of Revolving Credit Commitments hereunder (including Extended Revolving Credit Commitments) which have more than three (3) different Maturity Dates, (ii) the Effective Yield, pricing, optional redemption or prepayment terms, with respect to extensions of credit under the Extended Revolving Credit Commitments (whether in the form of interest rate margin, upfront fees, OID or otherwise) may be different than the Effective Yield, pricing, optional redemption or prepayment terms, for extensions of credit under the Revolving Credit Commitments of such Existing Revolver Tranche, in each case, to the extent provided in the applicable Extension Amendment, (iii) the Extension Amendment may provide for other covenants (as determined by the Borrower and Lenders extending) and terms that apply solely to any period after the Maturity Date that is in effect on the effective date of the Extension Amendment (immediately prior to the establishment of such Extended Revolving Credit Commitments), and (iv) all borrowings under the applicable Revolving Credit Commitments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Existing Revolver Tranche and the Extended Revolving Credit Commitments of the applicable Revolver Extension Series) and repayments thereunder shall be made on a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31" w:name="page132"/>
    <w:bookmarkEnd w:id="13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basis (except for (I) payments of interest and fees at different rates on Extended Revolving Credit Commitments (and related outstandings), (II) repayments required upon the Maturity Date of the non-extending Revolving Credit Commitments and (III) repayments made in connection with a permanent repayment and termination of non-extended Revolving Credit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(i) no Default shall have occurred and be continuing at the time a Revolver Extension Request is delivered to Lenders and (ii) the representations and warranties of the Borrower and each other Loan Party in Article VI hereof or any other Loan Document, or which are contained in any document furnished at any time under or in connection herewith or therewith, shall be true and correct, in all material respects, on and as of the date a Revolver Extension Request is delivered to the Lenders with the same force and effect as if made on and as of such date, except to the extent that such representations and warranties expressly relate to an earlier date, in which case they shall be true and correct, in all material respects, as of such earlier date, and except that for purposes of this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the representations and warranties contained in Section 6.04(a) and (b) shall be deemed to refer to the most recent statements furnished pursuant to Section 7.01(b) and (a), respectively, (B) in no event shall the final maturity date of any Extended Revolving Credit Commitments of a given Revolver Extension Series at the time of establishment thereof be earlier than the then latest Maturity Date of any other Revolving Credit Commitments hereunder, and (C) all documentation in respect of such Extension Amendment shall be consistent with the foregoing. Any Extended Revolving Credit Commitments amended pursuant to any Revolver Extension Request shall be designated a series (each, a “</w:t>
      </w:r>
      <w:r>
        <w:rPr>
          <w:rFonts w:ascii="Times New Roman" w:cs="Times New Roman" w:eastAsia="Times New Roman" w:hAnsi="Times New Roman"/>
          <w:sz w:val="21"/>
          <w:szCs w:val="21"/>
          <w:u w:val="single" w:color="auto"/>
          <w:color w:val="auto"/>
        </w:rPr>
        <w:t>Revolver Extension Series</w:t>
      </w:r>
      <w:r>
        <w:rPr>
          <w:rFonts w:ascii="Times New Roman" w:cs="Times New Roman" w:eastAsia="Times New Roman" w:hAnsi="Times New Roman"/>
          <w:sz w:val="21"/>
          <w:szCs w:val="21"/>
          <w:color w:val="auto"/>
        </w:rPr>
        <w:t xml:space="preserve">”) of Extended Revolving Credit Commitments for all purposes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Extended Revolving Credit Commitments amended from an Existing Revolver Tranche may, to the extent provided in the applicable Extension Amendment, be designated as an increase in any previously established class of Revolving Credit Commitments. Each request for a Revolver Extension Series of Extended Revolving Credit Commitments proposed to be incurred under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shall be in an aggregate principal amount that is not less than 50% of the applicable Class of Loans and Commitments and the Borrower may impose an Extension Minimum Condition with respect to any Revolver Extension Request, which may be waived by the Borrower in its sole discretion.</w:t>
      </w:r>
    </w:p>
    <w:p>
      <w:pPr>
        <w:spacing w:after="0" w:line="200" w:lineRule="exact"/>
        <w:rPr>
          <w:sz w:val="20"/>
          <w:szCs w:val="20"/>
          <w:color w:val="auto"/>
        </w:rPr>
      </w:pPr>
    </w:p>
    <w:p>
      <w:pPr>
        <w:spacing w:after="0" w:line="236" w:lineRule="exact"/>
        <w:rPr>
          <w:sz w:val="20"/>
          <w:szCs w:val="20"/>
          <w:color w:val="auto"/>
        </w:rPr>
      </w:pPr>
    </w:p>
    <w:p>
      <w:pPr>
        <w:jc w:val="both"/>
        <w:ind w:firstLine="1304"/>
        <w:spacing w:after="0" w:line="248" w:lineRule="auto"/>
        <w:tabs>
          <w:tab w:leader="none" w:pos="1806"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Extension Request</w:t>
      </w:r>
      <w:r>
        <w:rPr>
          <w:rFonts w:ascii="Times New Roman" w:cs="Times New Roman" w:eastAsia="Times New Roman" w:hAnsi="Times New Roman"/>
          <w:sz w:val="22"/>
          <w:szCs w:val="22"/>
          <w:color w:val="auto"/>
        </w:rPr>
        <w:t>. The Borrower shall provide the applicable Extension Request at least five (5)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and the Borrower, in each case acting reasonably to accomplish the purposes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Times New Roman" w:cs="Times New Roman" w:eastAsia="Times New Roman" w:hAnsi="Times New Roman"/>
          <w:sz w:val="22"/>
          <w:szCs w:val="22"/>
          <w:u w:val="single" w:color="auto"/>
          <w:color w:val="auto"/>
        </w:rPr>
        <w:t>Extending Term Lender</w:t>
      </w:r>
      <w:r>
        <w:rPr>
          <w:rFonts w:ascii="Times New Roman" w:cs="Times New Roman" w:eastAsia="Times New Roman" w:hAnsi="Times New Roman"/>
          <w:sz w:val="22"/>
          <w:szCs w:val="22"/>
          <w:color w:val="auto"/>
        </w:rPr>
        <w:t>”) wishing to have all or a portion of its Term Loans under the Existing Term Loan Tranche subject to such Extension Request amended into Extended Term Loans and any Revolving Credit Lender (each, an “</w:t>
      </w:r>
      <w:r>
        <w:rPr>
          <w:rFonts w:ascii="Times New Roman" w:cs="Times New Roman" w:eastAsia="Times New Roman" w:hAnsi="Times New Roman"/>
          <w:sz w:val="22"/>
          <w:szCs w:val="22"/>
          <w:u w:val="single" w:color="auto"/>
          <w:color w:val="auto"/>
        </w:rPr>
        <w:t>Extending Revolving Credit Lender</w:t>
      </w:r>
      <w:r>
        <w:rPr>
          <w:rFonts w:ascii="Times New Roman" w:cs="Times New Roman" w:eastAsia="Times New Roman" w:hAnsi="Times New Roman"/>
          <w:sz w:val="22"/>
          <w:szCs w:val="22"/>
          <w:color w:val="auto"/>
        </w:rPr>
        <w:t>”) wishing to have all or a portion of its Revolving Credit Commitments under the Existing Revolver Tranche subject to such Extension Request amended into Extended Revolving Credit Commitments, as applicable, shall notify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32" w:name="page133"/>
    <w:bookmarkEnd w:id="132"/>
    <w:p>
      <w:pPr>
        <w:jc w:val="both"/>
        <w:spacing w:after="0" w:line="248" w:lineRule="auto"/>
        <w:rPr>
          <w:sz w:val="20"/>
          <w:szCs w:val="20"/>
          <w:color w:val="auto"/>
        </w:rPr>
      </w:pPr>
      <w:r>
        <w:rPr>
          <w:rFonts w:ascii="Times New Roman" w:cs="Times New Roman" w:eastAsia="Times New Roman" w:hAnsi="Times New Roman"/>
          <w:sz w:val="22"/>
          <w:szCs w:val="22"/>
          <w:color w:val="auto"/>
        </w:rPr>
        <w:t>Agent (each, an “</w:t>
      </w:r>
      <w:r>
        <w:rPr>
          <w:rFonts w:ascii="Times New Roman" w:cs="Times New Roman" w:eastAsia="Times New Roman" w:hAnsi="Times New Roman"/>
          <w:sz w:val="22"/>
          <w:szCs w:val="22"/>
          <w:u w:val="single" w:color="auto"/>
          <w:color w:val="auto"/>
        </w:rPr>
        <w:t>Extension Election</w:t>
      </w:r>
      <w:r>
        <w:rPr>
          <w:rFonts w:ascii="Times New Roman" w:cs="Times New Roman" w:eastAsia="Times New Roman" w:hAnsi="Times New Roman"/>
          <w:sz w:val="22"/>
          <w:szCs w:val="22"/>
          <w:color w:val="auto"/>
        </w:rPr>
        <w:t>”)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Extended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spacing w:after="0" w:line="180" w:lineRule="exact"/>
        <w:rPr>
          <w:sz w:val="20"/>
          <w:szCs w:val="20"/>
          <w:color w:val="auto"/>
        </w:rPr>
      </w:pPr>
    </w:p>
    <w:p>
      <w:pPr>
        <w:jc w:val="both"/>
        <w:ind w:firstLine="1304"/>
        <w:spacing w:after="0" w:line="247" w:lineRule="auto"/>
        <w:tabs>
          <w:tab w:leader="none" w:pos="1953"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Extended Term Loans and Extended Revolving Credit Commitments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established pursuant to an amendment (each, an “</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xml:space="preserve">”) to this Credit Agreement among the Borrower, the Administrative Agent, each Extending Term Lender or Extending Revolving Credit Lender, as applicable, providing an Extended Term Loan or Extended Revolving Credit Commitment, as applicable, thereunder, and, with respect to any Extended Revolving Credit Commitments resulting in an extension of an L/C Issuer’s obligations with respect to a Letter of Credit, such L/C Issuer, which shall be consistent with the provisions set forth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respectively (but which shall not require the consent of any other Lender). The effectiveness of any Extension Amendment shall be subject to the satisfaction (or waiver in accordance with such Extension Amendment) on the date thereof of each of the conditions set forth in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 resulting from a change in law, change in fact or change to counsel’s form of opinion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3" w:name="page134"/>
    <w:bookmarkEnd w:id="133"/>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(iii) modify the prepayments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reflect the existence of the Extended Term Loans and the application of prepayments with respect thereto, (iv) address technical issues relating to funding and payments and (v) effect such other amendments to this Credit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and the Required Lenders hereby expressly authorize the Administrative Agent to enter into any such Extension Amendment.</w:t>
      </w:r>
    </w:p>
    <w:p>
      <w:pPr>
        <w:spacing w:after="0" w:line="194" w:lineRule="exact"/>
        <w:rPr>
          <w:sz w:val="20"/>
          <w:szCs w:val="20"/>
          <w:color w:val="auto"/>
        </w:rPr>
      </w:pPr>
    </w:p>
    <w:p>
      <w:pPr>
        <w:jc w:val="both"/>
        <w:ind w:right="20" w:firstLine="1304"/>
        <w:spacing w:after="0" w:line="257" w:lineRule="auto"/>
        <w:tabs>
          <w:tab w:leader="none" w:pos="1837"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 conversion or extension of Loans or Commitments pursuant to any Extension in accordance with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shall constitute a voluntary or mandatory payment or prepayment for purposes of this Credit Agreement.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shall supersede any provisions in Section 2.12 or 10.01 to the contrary.</w:t>
      </w:r>
    </w:p>
    <w:p>
      <w:pPr>
        <w:spacing w:after="0" w:line="1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-11430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TAXES, YIELD PROTECTION AND ILLEGALITY</w:t>
      </w:r>
    </w:p>
    <w:p>
      <w:pPr>
        <w:spacing w:after="0" w:line="22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3.01 </w:t>
      </w:r>
      <w:r>
        <w:rPr>
          <w:rFonts w:ascii="Times New Roman" w:cs="Times New Roman" w:eastAsia="Times New Roman" w:hAnsi="Times New Roman"/>
          <w:sz w:val="22"/>
          <w:szCs w:val="22"/>
          <w:color w:val="000000"/>
        </w:rPr>
        <w:t>Taxes. (n)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Payments Free of Taxes</w:t>
      </w:r>
      <w:r>
        <w:rPr>
          <w:rFonts w:ascii="Times New Roman" w:cs="Times New Roman" w:eastAsia="Times New Roman" w:hAnsi="Times New Roman"/>
          <w:sz w:val="22"/>
          <w:szCs w:val="22"/>
          <w:color w:val="000000"/>
        </w:rPr>
        <w:t>. Any and all payments by or on account of any obligation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Borrower hereunder or under any other Loan Document shall be made free and clear of and without reduction or withholding for any Taxes or Other Taxes,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the Borrower shall be required by applicable law to deduct any Taxes (including any Other Taxes) from such payments, then (i) in the case of Indemnified Taxes (including any Other Taxes) the sum payable by the Borrower shall be increased as necessary so that after making all required deductions (including deductions applicable to additional sums payable under this Section) the Administrative Agent, any Lender or any L/C Issuer, as the case may be,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-1341120</wp:posOffset>
            </wp:positionV>
            <wp:extent cx="4610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ind w:firstLine="1304"/>
        <w:spacing w:after="0" w:line="261" w:lineRule="auto"/>
        <w:tabs>
          <w:tab w:leader="none" w:pos="1899"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Without limiting the provisions of subsection (a) above, the Borrower shall timely pay any Other Taxes to the relevant Governmental Authority in accordance with applicable law.</w:t>
      </w:r>
    </w:p>
    <w:p>
      <w:pPr>
        <w:spacing w:after="0" w:line="168" w:lineRule="exact"/>
        <w:rPr>
          <w:rFonts w:ascii="Times New Roman" w:cs="Times New Roman" w:eastAsia="Times New Roman" w:hAnsi="Times New Roman"/>
          <w:sz w:val="22"/>
          <w:szCs w:val="22"/>
          <w:color w:val="010000"/>
        </w:rPr>
      </w:pPr>
    </w:p>
    <w:p>
      <w:pPr>
        <w:jc w:val="both"/>
        <w:ind w:firstLine="1304"/>
        <w:spacing w:after="0" w:line="261" w:lineRule="auto"/>
        <w:tabs>
          <w:tab w:leader="none" w:pos="1779" w:val="left"/>
        </w:tabs>
        <w:numPr>
          <w:ilvl w:val="0"/>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xml:space="preserve">. The Borrower shall indemnify the Administrative Agent, each Lender and each L/C Issuer, within 10 days after demand therefor, for the full amount of any Indemnified Taxes or Other Taxes (including Indemnified Taxes or Other Taxes imposed or asserted on or attributable to amounts payable under this Section) paid by the Administrative Agent, such Lender or such L/C Issuer, as the case may be,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indemnify the Administrative Agent, any Lender or any L/C Issuer for any penalties or interest that are imposed solely as a result of gross negligence or willful misconduct of the Administrative Agent, any Lender or any L/C Issuer.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If, in the reasonable discretion of the Borrower, any Indemnified Taxes or Other Taxes are incorrectly or not legally imposed or asserted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relevant Governmental Authority, the Administrative Agent, each Lender or each L/C Issuer, as the case may be, shall, at the expense of the Borrower, use commercially reasonable efforts to cooperate with the Borrower to recover and promptly remit such Indemnified Taxes or Other Taxes to the Borrower in accordance with subsection (f) of this Section. Nothing contained herein shall derogate from the right of any Lender, the Administrative Agent or any L/C Issuer to arrange its tax affairs in whatever manner it sees fit nor shall require any Lender, the Administrative Agent or any L/C Issuer to disclose any information relating to its tax affairs that it deems confidential other than as required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For the avoidance of doubt, neither a Lender nor an L/C Issuer shall be entitled to recover more than once with respect to the same amount of Taxes to which such Lender or such L/C Issuer is entitled to indemnification under this Section.</w:t>
      </w:r>
    </w:p>
    <w:p>
      <w:pPr>
        <w:spacing w:after="0" w:line="182" w:lineRule="exact"/>
        <w:rPr>
          <w:sz w:val="20"/>
          <w:szCs w:val="20"/>
          <w:color w:val="auto"/>
        </w:rPr>
      </w:pPr>
    </w:p>
    <w:p>
      <w:pPr>
        <w:jc w:val="both"/>
        <w:ind w:firstLine="1304"/>
        <w:spacing w:after="0" w:line="256" w:lineRule="auto"/>
        <w:tabs>
          <w:tab w:leader="none" w:pos="1764"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Taxes or Other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79"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Any Foreign Lender that is entitled to an exemption from or reduction of withholding tax under the law of the jurisdiction in which the Borrower is resident for tax purposes, or any treaty to which such jurisdiction is a party, with respect to payments hereunder or under any other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of withholding.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Without limiting the generality of the foregoing, if the Borrower is resident for tax purposes in the United States, any Foreign Lender shall deliver to the Borrower and the Administrative Agent (in such number of copies as shall be reasonably requested by the recipient) on or prior to the date on which such Foreign Lender becomes a Lender under this Credit Agreement (and from time to time thereafter upon the reasonable request of the Borrower or the Administrative Agent, but only if such Foreign Lender is legally entitled to do so), whichever of the following is applicable:</w:t>
      </w:r>
    </w:p>
    <w:p>
      <w:pPr>
        <w:spacing w:after="0" w:line="194" w:lineRule="exact"/>
        <w:rPr>
          <w:sz w:val="20"/>
          <w:szCs w:val="20"/>
          <w:color w:val="auto"/>
        </w:rPr>
      </w:pPr>
    </w:p>
    <w:p>
      <w:pPr>
        <w:ind w:left="660" w:firstLine="644"/>
        <w:spacing w:after="0" w:line="271" w:lineRule="auto"/>
        <w:tabs>
          <w:tab w:leader="none" w:pos="1826"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duly completed copies of Internal Revenue Service Form W-8BEN or W-8BEN-E claiming eligibility for benefits of an income tax treaty to which the United States is a party,</w:t>
      </w:r>
    </w:p>
    <w:p>
      <w:pPr>
        <w:spacing w:after="0" w:line="15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duly completed copies of Internal Revenue Service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5" w:name="page136"/>
    <w:bookmarkEnd w:id="135"/>
    <w:p>
      <w:pPr>
        <w:jc w:val="both"/>
        <w:ind w:left="660" w:firstLine="644"/>
        <w:spacing w:after="0" w:line="262" w:lineRule="auto"/>
        <w:tabs>
          <w:tab w:leader="none" w:pos="2042" w:val="left"/>
        </w:tabs>
        <w:numPr>
          <w:ilvl w:val="0"/>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(A) a certificate to the effect that such Foreign Lender is not (1) a “bank” within the meaning of section 881(c)(3)(A) of the Code, (2) a “10 percent shareholder” of the Borrower within the meaning of section 881(c)</w:t>
      </w:r>
    </w:p>
    <w:p>
      <w:pPr>
        <w:spacing w:after="0" w:line="2" w:lineRule="exact"/>
        <w:rPr>
          <w:rFonts w:ascii="Times New Roman" w:cs="Times New Roman" w:eastAsia="Times New Roman" w:hAnsi="Times New Roman"/>
          <w:sz w:val="21"/>
          <w:szCs w:val="21"/>
          <w:color w:val="010000"/>
        </w:rPr>
      </w:pPr>
    </w:p>
    <w:p>
      <w:pPr>
        <w:ind w:left="660" w:right="20"/>
        <w:spacing w:after="0" w:line="24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(3)(B) of the Code, or (3) a “controlled foreign corporation” described in section 881(c)(3)(C) of the Code and (B) duly completed copies of Internal Revenue Service Form W-8BEN or W-8BEN-E, or</w:t>
      </w:r>
    </w:p>
    <w:p>
      <w:pPr>
        <w:spacing w:after="0" w:line="195" w:lineRule="exact"/>
        <w:rPr>
          <w:rFonts w:ascii="Times New Roman" w:cs="Times New Roman" w:eastAsia="Times New Roman" w:hAnsi="Times New Roman"/>
          <w:sz w:val="21"/>
          <w:szCs w:val="21"/>
          <w:color w:val="010000"/>
        </w:rPr>
      </w:pPr>
    </w:p>
    <w:p>
      <w:pPr>
        <w:jc w:val="both"/>
        <w:ind w:left="660" w:firstLine="644"/>
        <w:spacing w:after="0" w:line="250" w:lineRule="auto"/>
        <w:tabs>
          <w:tab w:leader="none" w:pos="1843"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(including, for the avoidance of doubt, documentation necessary for the Borrower or the Administrative Agent to comply with its obligations under FATCA, to determine whether any recipient of amounts arising under this Credit Agreement has or has not complied with such recipient’s obligations under FATCA, or to determine the amount to deduct and/or withhold from such amounts under FATCA).</w:t>
      </w:r>
    </w:p>
    <w:p>
      <w:pPr>
        <w:spacing w:after="0" w:line="180" w:lineRule="exact"/>
        <w:rPr>
          <w:sz w:val="20"/>
          <w:szCs w:val="20"/>
          <w:color w:val="auto"/>
        </w:rPr>
      </w:pPr>
    </w:p>
    <w:p>
      <w:pPr>
        <w:jc w:val="both"/>
        <w:ind w:firstLine="1304"/>
        <w:spacing w:after="0" w:line="247" w:lineRule="auto"/>
        <w:tabs>
          <w:tab w:leader="none" w:pos="1728"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the Administrative Agent, any Lender or any L/C Issuer determines, in good faith, that it has received a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out-of-pocket expenses (including Taxes) of the Administrative Agent, such Lender or such L/C Issuer, as the case may be,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Administrative Agent, such Lender or such L/C Issuer, agrees to repay the amount paid over to the Borrower (plus any penalties, interest or other charges imposed by the relevant Governmental Authority) to the Administrative Agent, such Lender or such L/C Issuer if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90"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858"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For purposes of determining withholding Taxes imposed under FATCA, from and after the date hereof, the Borrower and the Administrative Agent shall treat (and the Lenders hereby authorize the Administrative Agent to treat) any Loans as not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as a “grandfathered obligation” within the meaning of Treasury Regulations Section 1.1471-2(b)(2)(i).</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3.02 </w:t>
      </w:r>
      <w:r>
        <w:rPr>
          <w:rFonts w:ascii="Times New Roman" w:cs="Times New Roman" w:eastAsia="Times New Roman" w:hAnsi="Times New Roman"/>
          <w:sz w:val="22"/>
          <w:szCs w:val="22"/>
          <w:color w:val="000000"/>
        </w:rPr>
        <w:t>Illegality. If any Lender determines that any Law has made it unlawful, or that any Governmental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Authority has asserted that it is unlawful, for any Lender or its applicable Lending Office to make, maintain or fund SOFR Loans (or if after a Benchmark Replacement to Daily Simple SOFR, such rate), or to determine or charge interest rates based upon Adjusted Term SOFR (or if after a Benchmark Replacement to Daily Simple SOFR, such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or SOFR Loans (or if after a Benchmark Replacement to Daily Simple SOFR, such rate) or to convert Base Rate Loans to SOFR Loans (or if after a Benchmark Replacement to Daily Simple SOFR, such rate) shall be suspended and (ii) if such notice asserts the illegality of such Lender making or maintaining Base Rate Loans the interest of which is determined by reference to the Adjusted Term SOFR component of the Base Rate, the interest rate on which Base Rate Loans of such Lender shall, if necessary to avoid such illegality, be determined by the Administrative Agent without reference to the Adjusted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the Adjusted Term SOFR component of the Base Rate with respect to any Base Rate Loans,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upon Adjusted Term SOFR. Upon any such prepayment or conversion, the Borrower shall also pay accrued interest on the amount so prepaid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-3804920</wp:posOffset>
            </wp:positionV>
            <wp:extent cx="657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7860" cy="8255"/>
                    </a:xfrm>
                    <a:prstGeom prst="rect">
                      <a:avLst/>
                    </a:prstGeom>
                    <a:noFill/>
                  </pic:spPr>
                </pic:pic>
              </a:graphicData>
            </a:graphic>
          </wp:anchor>
        </w:drawing>
      </w:r>
    </w:p>
    <w:p>
      <w:pPr>
        <w:ind w:left="1300"/>
        <w:spacing w:after="0"/>
        <w:tabs>
          <w:tab w:leader="none" w:pos="2560" w:val="left"/>
        </w:tabs>
        <w:rPr>
          <w:sz w:val="20"/>
          <w:szCs w:val="20"/>
          <w:color w:val="auto"/>
        </w:rPr>
      </w:pPr>
      <w:r>
        <w:rPr>
          <w:rFonts w:ascii="Times New Roman" w:cs="Times New Roman" w:eastAsia="Times New Roman" w:hAnsi="Times New Roman"/>
          <w:sz w:val="22"/>
          <w:szCs w:val="22"/>
          <w:color w:val="010000"/>
        </w:rPr>
        <w:t>Section 3.03</w:t>
      </w:r>
      <w:r>
        <w:rPr>
          <w:sz w:val="20"/>
          <w:szCs w:val="20"/>
          <w:color w:val="auto"/>
        </w:rPr>
        <w:tab/>
      </w:r>
      <w:r>
        <w:rPr>
          <w:rFonts w:ascii="Times New Roman" w:cs="Times New Roman" w:eastAsia="Times New Roman" w:hAnsi="Times New Roman"/>
          <w:sz w:val="21"/>
          <w:szCs w:val="21"/>
          <w:color w:val="auto"/>
        </w:rPr>
        <w:t>Alternate Rate of Interest. (o) Subject to clauses (b), (c), (d), (e) and (f) of this Section 3.03,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15195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jc w:val="both"/>
        <w:ind w:left="660" w:firstLine="644"/>
        <w:spacing w:after="0" w:line="248" w:lineRule="auto"/>
        <w:tabs>
          <w:tab w:leader="none" w:pos="1744"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 determines (which determination shall be conclusive absent manifest error) prior to the commencement of any Interest Period for a SOFR Borrowing, that adequate and reasonable means do not exist for ascertaining Adjusted Term SOFR (including because the Term SOFR Reference Rate is not available or published on a current basis), for such Interest Period; or</w:t>
      </w:r>
    </w:p>
    <w:p>
      <w:pPr>
        <w:spacing w:after="0" w:line="183"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796"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 is advised by the Required Lenders that prior to the commencement of any Interest Period for a SOFR Borrowing, Adjusted Term SOFR for such Interest Period will not adequately and fairly reflect the cost to such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Lender) of making or maintaining their Loans (or its Loan) included in such SOFR Borrowing for such Interest Period;</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request for the conversion or continuation of any Borrowing or a new notice of borrowing (each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2.02</w:t>
      </w:r>
      <w:r>
        <w:rPr>
          <w:rFonts w:ascii="Times New Roman" w:cs="Times New Roman" w:eastAsia="Times New Roman" w:hAnsi="Times New Roman"/>
          <w:sz w:val="21"/>
          <w:szCs w:val="21"/>
          <w:color w:val="auto"/>
        </w:rPr>
        <w:t xml:space="preserve">) notice of borrowing, any request for the conversion of any Borrowing to, or continuation of any Borrowing as, a SOFR Borrowing, or a notice of borrowing for a SOFR Borrowing, shall instead be deemed to be a request for a Base Rate Borrowing;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circumstances giving rise to such notice affect only one Type of Borrowings, then all other Types of Borrowings shall be permitted. Furthermore, if any SOFR Loan is outstanding on the date of the Borrower’s receipt of the notice from the Administrative Agent referred to in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with respect to Adjusted Term SOFR, then until (A) the Administrative Agent notifies the Borrower and the Lenders that the circumstances giving rise to such notice no longer exist with respect to the relevant Benchmark and (B) the Borrower delivers a new request for the conversion or continuation of any Borrowing or a new notice of borrowing (each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(1) any SOFR Loan shall on the last day of the Interest Period applicable to such Loan, be converted by the Administrative Agent to, and shall constitute, an Base Rate Loan.</w:t>
      </w:r>
    </w:p>
    <w:p>
      <w:pPr>
        <w:spacing w:after="0" w:line="177" w:lineRule="exact"/>
        <w:rPr>
          <w:sz w:val="20"/>
          <w:szCs w:val="20"/>
          <w:color w:val="auto"/>
        </w:rPr>
      </w:pPr>
    </w:p>
    <w:p>
      <w:pPr>
        <w:jc w:val="both"/>
        <w:ind w:firstLine="1304"/>
        <w:spacing w:after="0" w:line="248" w:lineRule="auto"/>
        <w:tabs>
          <w:tab w:leader="none" w:pos="179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Credit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Documents, in connection with the use, administration, adoption or implementation of a Benchmark Replacement, with respect to the Facilities, the Administrative Agent will have the right to make Benchmark Replacement Conforming Changes, with respect to the Facilities, from time to time and, notwithstanding anything to the contrary herein or in any other Loan Document, any amendments implementing such Benchmark Replacement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38" w:name="page139"/>
    <w:bookmarkEnd w:id="138"/>
    <w:p>
      <w:pPr>
        <w:spacing w:after="0" w:line="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with respect to the Facilities, will become effective without any further action or consent of any other party to this Credit Agreement or any other Loan Document (and the Lenders hereby (i) authorize and direct the Administrative Agent to make any Benchmark Replacement Conforming Changes, with respect to the Facilities, (and to enter into any modifications to this Credit Agreement or other Loan Documents implementing such Benchmark Replacement Conforming Changes) and (ii) acknowledge and agree that the Administrative Agent shall be entitled to all of the exculpations, protections and indemnifications provided for in this Credit Agreement in favor of the Administrative Agent in implementing any Benchmark Replacement Conforming Changes, with respect to the Facilities, (or in entering into any modifications to this Credit Agreement or the other Loan Documents implementing the same)).</w:t>
      </w:r>
    </w:p>
    <w:p>
      <w:pPr>
        <w:spacing w:after="0" w:line="182" w:lineRule="exact"/>
        <w:rPr>
          <w:sz w:val="20"/>
          <w:szCs w:val="20"/>
          <w:color w:val="auto"/>
        </w:rPr>
      </w:pPr>
    </w:p>
    <w:p>
      <w:pPr>
        <w:jc w:val="both"/>
        <w:ind w:firstLine="1304"/>
        <w:spacing w:after="0" w:line="249" w:lineRule="auto"/>
        <w:tabs>
          <w:tab w:leader="none" w:pos="179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will promptly notify the Borrower and the Lenders, with respect to the Facilities,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such Lenders) pursuant to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14"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Administrative Agent or (B) the regulatory supervisor for the administrator of such Benchmark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non-representative, non-compliant or non-aligned tenor and</w:t>
      </w:r>
    </w:p>
    <w:p>
      <w:pPr>
        <w:spacing w:after="0" w:line="6" w:lineRule="exact"/>
        <w:rPr>
          <w:rFonts w:ascii="Times New Roman" w:cs="Times New Roman" w:eastAsia="Times New Roman" w:hAnsi="Times New Roman"/>
          <w:sz w:val="21"/>
          <w:szCs w:val="21"/>
          <w:color w:val="auto"/>
        </w:rPr>
      </w:pPr>
    </w:p>
    <w:p>
      <w:pPr>
        <w:jc w:val="both"/>
        <w:ind w:firstLine="8"/>
        <w:spacing w:after="0" w:line="248" w:lineRule="auto"/>
        <w:tabs>
          <w:tab w:leader="none" w:pos="33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tenor that was removed pursuant to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Borrower’s receipt of notice of the commencement of a Benchmark Unavailability Period, the Borrower may revoke any pending request for a SOFR Loan of, conversion to or continuation of SOFR Loans to be made, converted 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 Available Tenor, the component of the Base Rate based upon the then-current Benchmark or such tenor for such Benchmark, as applicable, will not be used in any determination of the Base Rate. Furthermore, if any SOFR Loan is outstanding on the date of the Borrower’s receipt of notice of the commencement of a Benchmark Unavailability Period with respect to Adjusted Term SOFR, then until such time as a Benchmark Replacement is implemented pursuant to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any SOFR Loan shall on the last day of the Interest Period applicable to such Loan, be converted by the Administrative Agent to, and shall constitute a Base Rate Loan.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3.04</w:t>
      </w:r>
      <w:r>
        <w:rPr>
          <w:sz w:val="20"/>
          <w:szCs w:val="20"/>
          <w:color w:val="auto"/>
        </w:rPr>
        <w:tab/>
      </w:r>
      <w:r>
        <w:rPr>
          <w:rFonts w:ascii="Times New Roman" w:cs="Times New Roman" w:eastAsia="Times New Roman" w:hAnsi="Times New Roman"/>
          <w:sz w:val="21"/>
          <w:szCs w:val="21"/>
          <w:color w:val="auto"/>
        </w:rPr>
        <w:t>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002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2030" cy="8890"/>
                    </a:xfrm>
                    <a:prstGeom prst="rect">
                      <a:avLst/>
                    </a:prstGeom>
                    <a:noFill/>
                  </pic:spPr>
                </pic:pic>
              </a:graphicData>
            </a:graphic>
          </wp:anchor>
        </w:drawing>
      </w:r>
    </w:p>
    <w:p>
      <w:pPr>
        <w:spacing w:after="0" w:line="8"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5" w:lineRule="exact"/>
        <w:rPr>
          <w:rFonts w:ascii="Times New Roman" w:cs="Times New Roman" w:eastAsia="Times New Roman" w:hAnsi="Times New Roman"/>
          <w:sz w:val="22"/>
          <w:szCs w:val="22"/>
          <w:color w:val="auto"/>
        </w:rPr>
      </w:pPr>
    </w:p>
    <w:p>
      <w:pPr>
        <w:jc w:val="both"/>
        <w:ind w:left="660" w:firstLine="644"/>
        <w:spacing w:after="0" w:line="269" w:lineRule="auto"/>
        <w:tabs>
          <w:tab w:leader="none" w:pos="1734" w:val="left"/>
        </w:tabs>
        <w:numPr>
          <w:ilvl w:val="1"/>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contemplated by </w:t>
      </w:r>
      <w:r>
        <w:rPr>
          <w:rFonts w:ascii="Times New Roman" w:cs="Times New Roman" w:eastAsia="Times New Roman" w:hAnsi="Times New Roman"/>
          <w:sz w:val="21"/>
          <w:szCs w:val="21"/>
          <w:u w:val="single" w:color="auto"/>
          <w:color w:val="auto"/>
        </w:rPr>
        <w:t>Section 3.04(e)</w:t>
      </w:r>
      <w:r>
        <w:rPr>
          <w:rFonts w:ascii="Times New Roman" w:cs="Times New Roman" w:eastAsia="Times New Roman" w:hAnsi="Times New Roman"/>
          <w:sz w:val="21"/>
          <w:szCs w:val="21"/>
          <w:color w:val="auto"/>
        </w:rPr>
        <w:t>) or any L/C Issuer;</w:t>
      </w:r>
    </w:p>
    <w:p>
      <w:pPr>
        <w:spacing w:after="0" w:line="161" w:lineRule="exact"/>
        <w:rPr>
          <w:rFonts w:ascii="Times New Roman" w:cs="Times New Roman" w:eastAsia="Times New Roman" w:hAnsi="Times New Roman"/>
          <w:sz w:val="21"/>
          <w:szCs w:val="21"/>
          <w:color w:val="010000"/>
        </w:rPr>
      </w:pPr>
    </w:p>
    <w:p>
      <w:pPr>
        <w:jc w:val="both"/>
        <w:ind w:left="660" w:firstLine="644"/>
        <w:spacing w:after="0" w:line="253" w:lineRule="auto"/>
        <w:tabs>
          <w:tab w:leader="none" w:pos="1955"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any Lender or any L/C Issuer to any Tax of any kind whatsoever with respect to this Credit Agreement, any Letter of Credit, any participation in a Letter of Credit or any SOFR Loan made by it, or change the basis of Taxation of payments to such Lender or such L/C Issuer in respect thereof (except for Indemnified Taxes or Other Taxes covered by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the imposition of, or any change in the rate of, any Excluded Tax payable by such Lender or such L/C Issuer); or</w:t>
      </w:r>
    </w:p>
    <w:p>
      <w:pPr>
        <w:spacing w:after="0" w:line="178" w:lineRule="exact"/>
        <w:rPr>
          <w:rFonts w:ascii="Times New Roman" w:cs="Times New Roman" w:eastAsia="Times New Roman" w:hAnsi="Times New Roman"/>
          <w:sz w:val="22"/>
          <w:szCs w:val="22"/>
          <w:color w:val="010000"/>
        </w:rPr>
      </w:pPr>
    </w:p>
    <w:p>
      <w:pPr>
        <w:jc w:val="both"/>
        <w:ind w:left="660" w:right="20" w:firstLine="644"/>
        <w:spacing w:after="0" w:line="257" w:lineRule="auto"/>
        <w:tabs>
          <w:tab w:leader="none" w:pos="1976"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impose on any Lender or any L/C Issuer or the London interbank market any other condition, cost or expense affecting this Credit Agreement or SOFR Loans made by such Lender or any Letter of Credit or participation therein;</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of making, maintaining, continuing or converting to any SOFR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 Notwithstanding the foregoing, a Lender or an L/C Issuer shall be entitled to request compensation for increased costs or expenses described in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only to the extent it is the general practice or policy of such Lender or such L/C Issuer to request such compensation from other borrowers under comparable facilities under similar circumstances. For the avoidance of doubt, if a Lender or an L/C Issuer recovers an amount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440" w:right="339" w:bottom="1440" w:gutter="0" w:footer="0" w:header="0"/>
        </w:sectPr>
      </w:pPr>
    </w:p>
    <w:bookmarkStart w:id="140" w:name="page141"/>
    <w:bookmarkEnd w:id="140"/>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such Lender or L/C Issuer may not recover the same amount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similarly, if a Lender or an L/C Issuer recovers an amount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Lender or L/C Issuer may not recover the same amount under this Section.</w:t>
      </w:r>
    </w:p>
    <w:p>
      <w:pPr>
        <w:spacing w:after="0" w:line="158" w:lineRule="exact"/>
        <w:rPr>
          <w:sz w:val="20"/>
          <w:szCs w:val="20"/>
          <w:color w:val="auto"/>
        </w:rPr>
      </w:pPr>
    </w:p>
    <w:p>
      <w:pPr>
        <w:jc w:val="both"/>
        <w:ind w:firstLine="1304"/>
        <w:spacing w:after="0" w:line="248" w:lineRule="auto"/>
        <w:tabs>
          <w:tab w:leader="none" w:pos="1831"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Credit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88"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87"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or an L/C Issuer setting forth the amount or amounts necessary to compensate such Lender or such L/C Issuer or its holding company, as the case may be, as specified in subsection (a) or (b)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17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31"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3.05 </w:t>
      </w:r>
      <w:r>
        <w:rPr>
          <w:rFonts w:ascii="Times New Roman" w:cs="Times New Roman" w:eastAsia="Times New Roman" w:hAnsi="Times New Roman"/>
          <w:sz w:val="22"/>
          <w:szCs w:val="22"/>
          <w:color w:val="000000"/>
        </w:rPr>
        <w:t>Compensation for Losses. Upon demand of any Lender (with a copy to the Administrative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from time to time, the Borrower shall promptly compensate such Lender for and hold such Lender harmless from any loss, cost or expense incurred by it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-355600</wp:posOffset>
            </wp:positionV>
            <wp:extent cx="15659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jc w:val="both"/>
        <w:ind w:left="660" w:firstLine="644"/>
        <w:spacing w:after="0" w:line="249" w:lineRule="auto"/>
        <w:tabs>
          <w:tab w:leader="none" w:pos="179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any continuation, conversion, payment or prepayment of any Loan other than a Base Rate Loan on a day other than the last day of the Interest Period for such Loan (whether voluntary, mandatory, automatic, by reason of acceleration, or otherwise); (ii) any failure by the Borrower (for a reason other than the failure of such Lender to make a Loan) to prepay, borrow, continue or convert any Loan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1" w:name="page142"/>
    <w:bookmarkEnd w:id="141"/>
    <w:p>
      <w:pPr>
        <w:ind w:left="660"/>
        <w:spacing w:after="0" w:line="295" w:lineRule="auto"/>
        <w:rPr>
          <w:sz w:val="20"/>
          <w:szCs w:val="20"/>
          <w:color w:val="auto"/>
        </w:rPr>
      </w:pPr>
      <w:r>
        <w:rPr>
          <w:rFonts w:ascii="Times New Roman" w:cs="Times New Roman" w:eastAsia="Times New Roman" w:hAnsi="Times New Roman"/>
          <w:sz w:val="21"/>
          <w:szCs w:val="21"/>
          <w:color w:val="auto"/>
        </w:rPr>
        <w:t xml:space="preserve">Base Rate Loan, on the date or in the amount notified by the Borrower; or (iii) any assignment of a SOFR Loan on a day other than the last day of the Interest Period therefor as a result of a request by the Borrower pursuant to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and</w:t>
      </w:r>
    </w:p>
    <w:p>
      <w:pPr>
        <w:spacing w:after="0" w:line="186" w:lineRule="exact"/>
        <w:rPr>
          <w:sz w:val="20"/>
          <w:szCs w:val="20"/>
          <w:color w:val="auto"/>
        </w:rPr>
      </w:pPr>
    </w:p>
    <w:p>
      <w:pPr>
        <w:jc w:val="both"/>
        <w:ind w:left="660" w:firstLine="644"/>
        <w:spacing w:after="0" w:line="250" w:lineRule="auto"/>
        <w:tabs>
          <w:tab w:leader="none" w:pos="1797"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the effectiveness of a Benchmark Replacement to Daily Simple SOFR, with respect to SOFR Loans, in the event of (i) the payment of any principal of any SOFR Loan other than on the Interest Payment Date applicable thereto (including as a result of an Event of Default or an optional or mandatory prepayment of Loans), (ii) the failure to borrow or prepay any SOFR Loan on the date specified in any notice delivered pursuant hereto (regardless of whether such notice may be revoked under Section 3.06 and is revoked in accordance therewith) or (iii) the assignment of any SOFR Loan other than on the Interest Payment Date applicable thereto as a result of a request by the Borrower pursuant to Section 3.06.</w:t>
      </w:r>
    </w:p>
    <w:p>
      <w:pPr>
        <w:spacing w:after="0" w:line="18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010000"/>
        </w:rPr>
        <w:t xml:space="preserve">Section 3.06 </w:t>
      </w:r>
      <w:r>
        <w:rPr>
          <w:rFonts w:ascii="Times New Roman" w:cs="Times New Roman" w:eastAsia="Times New Roman" w:hAnsi="Times New Roman"/>
          <w:sz w:val="21"/>
          <w:szCs w:val="21"/>
          <w:color w:val="000000"/>
        </w:rPr>
        <w:t>Mitigation Obligations; Replacement of Lenders. (q)</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Designation of a Different Lending Office</w:t>
      </w:r>
      <w:r>
        <w:rPr>
          <w:rFonts w:ascii="Times New Roman" w:cs="Times New Roman" w:eastAsia="Times New Roman" w:hAnsi="Times New Roman"/>
          <w:sz w:val="21"/>
          <w:szCs w:val="21"/>
          <w:color w:val="000000"/>
        </w:rPr>
        <w:t>. If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any Lender requests compensation under </w:t>
      </w:r>
      <w:r>
        <w:rPr>
          <w:rFonts w:ascii="Times New Roman" w:cs="Times New Roman" w:eastAsia="Times New Roman" w:hAnsi="Times New Roman"/>
          <w:sz w:val="21"/>
          <w:szCs w:val="21"/>
          <w:u w:val="single" w:color="auto"/>
          <w:color w:val="000000"/>
        </w:rPr>
        <w:t>Section 3.04</w:t>
      </w:r>
      <w:r>
        <w:rPr>
          <w:rFonts w:ascii="Times New Roman" w:cs="Times New Roman" w:eastAsia="Times New Roman" w:hAnsi="Times New Roman"/>
          <w:sz w:val="21"/>
          <w:szCs w:val="21"/>
          <w:color w:val="000000"/>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000000"/>
        </w:rPr>
        <w:t>Section 3.01</w:t>
      </w:r>
      <w:r>
        <w:rPr>
          <w:rFonts w:ascii="Times New Roman" w:cs="Times New Roman" w:eastAsia="Times New Roman" w:hAnsi="Times New Roman"/>
          <w:sz w:val="21"/>
          <w:szCs w:val="21"/>
          <w:color w:val="000000"/>
        </w:rPr>
        <w:t xml:space="preserve">, or if any Lender gives a notice pursuant to </w:t>
      </w:r>
      <w:r>
        <w:rPr>
          <w:rFonts w:ascii="Times New Roman" w:cs="Times New Roman" w:eastAsia="Times New Roman" w:hAnsi="Times New Roman"/>
          <w:sz w:val="21"/>
          <w:szCs w:val="21"/>
          <w:u w:val="single" w:color="auto"/>
          <w:color w:val="000000"/>
        </w:rPr>
        <w:t>Section 3.02</w:t>
      </w:r>
      <w:r>
        <w:rPr>
          <w:rFonts w:ascii="Times New Roman" w:cs="Times New Roman" w:eastAsia="Times New Roman" w:hAnsi="Times New Roman"/>
          <w:sz w:val="21"/>
          <w:szCs w:val="21"/>
          <w:color w:val="00000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000000"/>
        </w:rPr>
        <w:t>Section 3.01</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Section 3.04</w:t>
      </w:r>
      <w:r>
        <w:rPr>
          <w:rFonts w:ascii="Times New Roman" w:cs="Times New Roman" w:eastAsia="Times New Roman" w:hAnsi="Times New Roman"/>
          <w:sz w:val="21"/>
          <w:szCs w:val="21"/>
          <w:color w:val="000000"/>
        </w:rPr>
        <w:t xml:space="preserve">, as the case may be, in the future, or eliminate the need for the notice pursuant to </w:t>
      </w:r>
      <w:r>
        <w:rPr>
          <w:rFonts w:ascii="Times New Roman" w:cs="Times New Roman" w:eastAsia="Times New Roman" w:hAnsi="Times New Roman"/>
          <w:sz w:val="21"/>
          <w:szCs w:val="21"/>
          <w:u w:val="single" w:color="auto"/>
          <w:color w:val="000000"/>
        </w:rPr>
        <w:t>Section 3.02</w:t>
      </w:r>
      <w:r>
        <w:rPr>
          <w:rFonts w:ascii="Times New Roman" w:cs="Times New Roman" w:eastAsia="Times New Roman" w:hAnsi="Times New Roman"/>
          <w:sz w:val="21"/>
          <w:szCs w:val="21"/>
          <w:color w:val="000000"/>
        </w:rPr>
        <w:t>,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-1016000</wp:posOffset>
            </wp:positionV>
            <wp:extent cx="2837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jc w:val="both"/>
        <w:ind w:firstLine="8"/>
        <w:spacing w:after="0" w:line="247" w:lineRule="auto"/>
        <w:tabs>
          <w:tab w:leader="none" w:pos="3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 w:lineRule="exact"/>
        <w:rPr>
          <w:rFonts w:ascii="Times New Roman" w:cs="Times New Roman" w:eastAsia="Times New Roman" w:hAnsi="Times New Roman"/>
          <w:sz w:val="22"/>
          <w:szCs w:val="22"/>
          <w:color w:val="auto"/>
        </w:rPr>
      </w:pPr>
    </w:p>
    <w:p>
      <w:pPr>
        <w:jc w:val="both"/>
        <w:ind w:firstLine="1304"/>
        <w:spacing w:after="0" w:line="245" w:lineRule="auto"/>
        <w:tabs>
          <w:tab w:leader="none" w:pos="1858"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the Company may replace such Lender in accordance with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3.07 </w:t>
      </w:r>
      <w:r>
        <w:rPr>
          <w:rFonts w:ascii="Times New Roman" w:cs="Times New Roman" w:eastAsia="Times New Roman" w:hAnsi="Times New Roman"/>
          <w:sz w:val="22"/>
          <w:szCs w:val="22"/>
          <w:color w:val="000000"/>
        </w:rPr>
        <w:t>Survival. All of the Borrower’s obligations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survive termination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Aggregate Commitments and 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-193675</wp:posOffset>
            </wp:positionV>
            <wp:extent cx="644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4525"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-29210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GUARANTY</w:t>
      </w:r>
    </w:p>
    <w:p>
      <w:pPr>
        <w:spacing w:after="0" w:line="22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010000"/>
        </w:rPr>
        <w:t xml:space="preserve">Section 4.01 </w:t>
      </w:r>
      <w:r>
        <w:rPr>
          <w:rFonts w:ascii="Times New Roman" w:cs="Times New Roman" w:eastAsia="Times New Roman" w:hAnsi="Times New Roman"/>
          <w:sz w:val="22"/>
          <w:szCs w:val="22"/>
          <w:color w:val="000000"/>
        </w:rPr>
        <w:t>Guaranty. Each of the Guarantors hereby, jointly and severally, absolutely and unconditionally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guarantees, as a guaranty of payment and performance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-233680</wp:posOffset>
            </wp:positionV>
            <wp:extent cx="716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22"/>
          <w:szCs w:val="22"/>
          <w:color w:val="auto"/>
        </w:rPr>
        <w:t>merely as a guaranty of collection, prompt payment when due, whether at stated maturity, by required prepayment, upon acceleration, demand or otherwise, and at all times thereafter, of any and all of the Obligations (but, with respect to any Guarantor at any time, excluding all Excluded Swap Obligations with respect to such Guarantor at such time), whether for principal, interest, premiums, fees, indemnities, damages, costs, expenses or otherwise, of the Borrower to the Secured Parties, arising hereunder and under the other Loan Documents (including all renewals, extensions, amendments, refinancings and other modifications thereof and all costs, attorneys’ fees and expenses incurred by the Secured Parties in connection with the collection or enforcement thereof). The Administrative Agent’s books and records showing the amount of the Obligations shall be admissible in evidence in any action or proceeding, and shall be binding upon each Guarantor, and conclusive for the purpose of establishing the amount of the Obligations, absent manifest error.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any Guarantor under this Guaranty, and each Guarantor hereby irrevocably waives any defenses it may now have or hereafter acquire in any way relating to any or all of the foregoing (but, with respect to any Guarantor at any time, excluding all Excluded Swap Obligations with respect to such Guarantor at such time).</w:t>
      </w:r>
    </w:p>
    <w:p>
      <w:pPr>
        <w:spacing w:after="0" w:line="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4.02 </w:t>
      </w:r>
      <w:r>
        <w:rPr>
          <w:rFonts w:ascii="Times New Roman" w:cs="Times New Roman" w:eastAsia="Times New Roman" w:hAnsi="Times New Roman"/>
          <w:sz w:val="22"/>
          <w:szCs w:val="22"/>
          <w:color w:val="000000"/>
        </w:rPr>
        <w:t>Rights of Lenders. Each Guarantor consents and agrees that the Secured Parties may,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from time to time, without notice or demand, and without affecting the enforceability or continuing effectiveness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-201930</wp:posOffset>
            </wp:positionV>
            <wp:extent cx="1171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jc w:val="both"/>
        <w:ind w:firstLine="8"/>
        <w:spacing w:after="0" w:line="243" w:lineRule="auto"/>
        <w:tabs>
          <w:tab w:leader="none" w:pos="33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Administrative Agent, the L/C Issuers and the Secured Parties in their sole discretion may determine; and</w:t>
      </w:r>
    </w:p>
    <w:p>
      <w:pPr>
        <w:spacing w:after="0" w:line="3" w:lineRule="exact"/>
        <w:rPr>
          <w:rFonts w:ascii="Times New Roman" w:cs="Times New Roman" w:eastAsia="Times New Roman" w:hAnsi="Times New Roman"/>
          <w:sz w:val="22"/>
          <w:szCs w:val="22"/>
          <w:color w:val="auto"/>
        </w:rPr>
      </w:pPr>
    </w:p>
    <w:p>
      <w:pPr>
        <w:jc w:val="both"/>
        <w:ind w:firstLine="8"/>
        <w:spacing w:after="0" w:line="246" w:lineRule="auto"/>
        <w:tabs>
          <w:tab w:leader="none" w:pos="34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jc w:val="both"/>
        <w:ind w:firstLine="1296"/>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10000"/>
        </w:rPr>
        <w:t xml:space="preserve">Section 4.03 </w:t>
      </w:r>
      <w:r>
        <w:rPr>
          <w:rFonts w:ascii="Times New Roman" w:cs="Times New Roman" w:eastAsia="Times New Roman" w:hAnsi="Times New Roman"/>
          <w:sz w:val="22"/>
          <w:szCs w:val="22"/>
          <w:color w:val="000000"/>
        </w:rPr>
        <w:t>Certain Waivers. Each Guarantor waives (a) any defense arising by reason of any disability, change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corporate existence or structure or other defense of the Borrower or any other Guarantor, or the cessation from any cause whatsoever (including any act or omission of any Secured Party) of the liability of the Borrower or any other Guarantor; (b) any defense based on any claim that such Guarantor’s obligations exceed or are more burdensome than those of the Borrower or any other Guarantor; (c) the benefit of any statute of limitations affecting such Guarantor’s liability hereunder; (d) 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-1515110</wp:posOffset>
            </wp:positionV>
            <wp:extent cx="10293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3" w:name="page144"/>
    <w:bookmarkEnd w:id="143"/>
    <w:p>
      <w:pPr>
        <w:jc w:val="both"/>
        <w:spacing w:after="0" w:line="250" w:lineRule="auto"/>
        <w:rPr>
          <w:sz w:val="20"/>
          <w:szCs w:val="20"/>
          <w:color w:val="auto"/>
        </w:rPr>
      </w:pPr>
      <w:r>
        <w:rPr>
          <w:rFonts w:ascii="Times New Roman" w:cs="Times New Roman" w:eastAsia="Times New Roman" w:hAnsi="Times New Roman"/>
          <w:sz w:val="22"/>
          <w:szCs w:val="22"/>
          <w:color w:val="auto"/>
        </w:rPr>
        <w:t>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4.04 </w:t>
      </w:r>
      <w:r>
        <w:rPr>
          <w:rFonts w:ascii="Times New Roman" w:cs="Times New Roman" w:eastAsia="Times New Roman" w:hAnsi="Times New Roman"/>
          <w:sz w:val="22"/>
          <w:szCs w:val="22"/>
          <w:color w:val="000000"/>
        </w:rPr>
        <w:t>Obligations Independent. The obligations of each Guarantor hereunder are those of primary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obligor, and not merely as surety, and are independent of the Obligations and the obligations of any other Guarantor, and a separate action may be brought against such Guarantor to enforce this Guaranty whether or not the Borrower or any other Person is joined as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-527050</wp:posOffset>
            </wp:positionV>
            <wp:extent cx="1626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4.05 </w:t>
      </w:r>
      <w:r>
        <w:rPr>
          <w:rFonts w:ascii="Times New Roman" w:cs="Times New Roman" w:eastAsia="Times New Roman" w:hAnsi="Times New Roman"/>
          <w:sz w:val="22"/>
          <w:szCs w:val="22"/>
          <w:color w:val="000000"/>
        </w:rPr>
        <w:t>Subrogation. Each Guarantor shall not exercise any right of subrogation, contribution, indemnity,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reimbursement or similar rights with respect to any payments it makes under this Guaranty until all of the Obligations and any amounts payable under this Guaranty have been indefeasibly paid and performed in full and the Commitments and the Facilities are terminated. If any amounts are paid to any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-852805</wp:posOffset>
            </wp:positionV>
            <wp:extent cx="842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4.06 </w:t>
      </w:r>
      <w:r>
        <w:rPr>
          <w:rFonts w:ascii="Times New Roman" w:cs="Times New Roman" w:eastAsia="Times New Roman" w:hAnsi="Times New Roman"/>
          <w:sz w:val="22"/>
          <w:szCs w:val="22"/>
          <w:color w:val="000000"/>
        </w:rPr>
        <w:t>Termination; Reinstatement. This Guaranty is a continuing and irrevocable guaranty of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Obligations now or hereafter existing and shall remain in full force and effect until all Obligations and any other amounts payable under this Guaranty are indefeasibly paid in full in cash and the Commitments and the Facilities with respect to the Obligations are terminated. Notwithstanding the foregoing, this Guaranty shall continue in full force and effect or be revived, as the case may be, if any payment by or on behalf of the Borrower or any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paragraph shall survive termination of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-1836420</wp:posOffset>
            </wp:positionV>
            <wp:extent cx="18313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1340"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4.07 </w:t>
      </w:r>
      <w:r>
        <w:rPr>
          <w:rFonts w:ascii="Times New Roman" w:cs="Times New Roman" w:eastAsia="Times New Roman" w:hAnsi="Times New Roman"/>
          <w:sz w:val="22"/>
          <w:szCs w:val="22"/>
          <w:color w:val="000000"/>
        </w:rPr>
        <w:t>Subordination. Each Guarantor hereby subordinates the payment of all obligations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indebtedness of the Borrower owing to such Guarantor, whether now existing or hereafter arising, including but not limited to any obligation of the Borrower to such Guarantor as subrogee of the Secured Parties or resulting from such Guarantor’s performance under this Guaranty, to the indefeasible payment in full in cash of all Obligations. If the Secured Parties so request, any such obligation or indebtedness of the Borrower to any Guarantor shall be enforced and performance received by such Guarantor as trustee for the Secured Parties and the proceeds thereof shall be paid over to the Secured Parties on account of the Obligations, but without reducing or affecting in any manner the liability of such Guarantor under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-1016635</wp:posOffset>
            </wp:positionV>
            <wp:extent cx="11112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010000"/>
        </w:rPr>
        <w:t xml:space="preserve">Section 4.08 </w:t>
      </w:r>
      <w:r>
        <w:rPr>
          <w:rFonts w:ascii="Times New Roman" w:cs="Times New Roman" w:eastAsia="Times New Roman" w:hAnsi="Times New Roman"/>
          <w:sz w:val="22"/>
          <w:szCs w:val="22"/>
          <w:color w:val="000000"/>
        </w:rPr>
        <w:t>Stay of Acceleration. If acceleration of the time for payment of any of the Obligations is stayed,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connection with any case commenced by or against any Guarantor or the Borrower under any Debtor Relief Laws, or otherwise, all such amounts shall nonetheless be payable by such Guarantor immediately upon demand by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-365125</wp:posOffset>
            </wp:positionV>
            <wp:extent cx="1281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4" w:name="page145"/>
    <w:bookmarkEnd w:id="144"/>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4.09 </w:t>
      </w:r>
      <w:r>
        <w:rPr>
          <w:rFonts w:ascii="Times New Roman" w:cs="Times New Roman" w:eastAsia="Times New Roman" w:hAnsi="Times New Roman"/>
          <w:sz w:val="22"/>
          <w:szCs w:val="22"/>
          <w:color w:val="000000"/>
        </w:rPr>
        <w:t>Condition of Borrower. Each Guarantor acknowledges and agrees that it has the sole responsibility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such Guarantor any information relating to the business, operations or financial condition of the Borrower or any other Guarantor (such Guarantor waiving any duty on the part of the Secured Parties to disclose such information and any defense relating to the failure to provide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-1015365</wp:posOffset>
            </wp:positionV>
            <wp:extent cx="1411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4.10 </w:t>
      </w:r>
      <w:r>
        <w:rPr>
          <w:rFonts w:ascii="Times New Roman" w:cs="Times New Roman" w:eastAsia="Times New Roman" w:hAnsi="Times New Roman"/>
          <w:sz w:val="22"/>
          <w:szCs w:val="22"/>
          <w:color w:val="000000"/>
        </w:rPr>
        <w:t>Limitation on Guaranty. It is the intention of the Guarantors, the Lenders and the Borrower that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obligations of each Guarantor hereunder shall be in, but not in excess of, the maximum amount permitted by applicable law. To that end, but only to the extent such obligations would otherwise be avoidable, the obligations of each Guarantor hereunder shall be limited to the maximum amount that, after giving effect to the incurrence thereof, would not render such Guarantor insolvent or unable to make payments in respect of any of its indebtedness as such indebtedness matures or leave such Guarantor with an unreasonably small capital. The need for any such limitation shall be determined, and any such needed limitation shall be effective, at the time or times that such Guarantor is deemed, under applicable law, to incur the Obligations hereunder. Any such limitation shall be apportioned amongst the Obligations (excluding all Excluded Swap Obligations) pro rata in accordance with the respective amounts thereof. This paragraph is intended solely to preserve the rights of the Lenders under this Credit Agreement to the maximum extent permitted by applicable law, and neither the Guarantors, the Borrower nor any other Person shall have any right under this paragraph that it would not otherwise have under applicable law. The Borrower and each Guarantor agree not to commence any proceeding or action seeking to limit the amount of the obligation of such Guarantor under this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by reason of this paragraph. For the purposes of this paragraph, “insolvency”, “unreasonably small capital” and “unable to make payments in respect of any of its indebtedness as such indebtedness matures” shall be determined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-2328545</wp:posOffset>
            </wp:positionV>
            <wp:extent cx="14408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4.11 </w:t>
      </w:r>
      <w:r>
        <w:rPr>
          <w:rFonts w:ascii="Times New Roman" w:cs="Times New Roman" w:eastAsia="Times New Roman" w:hAnsi="Times New Roman"/>
          <w:sz w:val="22"/>
          <w:szCs w:val="22"/>
          <w:color w:val="000000"/>
        </w:rPr>
        <w:t>Guaranty Supplements. Upon the execution and delivery by any Person of a guaranty supplement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substantially the form of </w:t>
      </w:r>
      <w:r>
        <w:rPr>
          <w:rFonts w:ascii="Times New Roman" w:cs="Times New Roman" w:eastAsia="Times New Roman" w:hAnsi="Times New Roman"/>
          <w:sz w:val="22"/>
          <w:szCs w:val="22"/>
          <w:u w:val="single" w:color="auto"/>
          <w:color w:val="000000"/>
        </w:rPr>
        <w:t>Exhibit K</w:t>
      </w:r>
      <w:r>
        <w:rPr>
          <w:rFonts w:ascii="Times New Roman" w:cs="Times New Roman" w:eastAsia="Times New Roman" w:hAnsi="Times New Roman"/>
          <w:sz w:val="22"/>
          <w:szCs w:val="22"/>
          <w:color w:val="000000"/>
        </w:rPr>
        <w:t xml:space="preserve"> hereto (each, a “</w:t>
      </w:r>
      <w:r>
        <w:rPr>
          <w:rFonts w:ascii="Times New Roman" w:cs="Times New Roman" w:eastAsia="Times New Roman" w:hAnsi="Times New Roman"/>
          <w:sz w:val="22"/>
          <w:szCs w:val="22"/>
          <w:u w:val="single" w:color="auto"/>
          <w:color w:val="000000"/>
        </w:rPr>
        <w:t>Guaranty Supplement</w:t>
      </w:r>
      <w:r>
        <w:rPr>
          <w:rFonts w:ascii="Times New Roman" w:cs="Times New Roman" w:eastAsia="Times New Roman" w:hAnsi="Times New Roman"/>
          <w:sz w:val="22"/>
          <w:szCs w:val="22"/>
          <w:color w:val="000000"/>
        </w:rPr>
        <w:t>”), (i) such Person shall become and be a Guarantor hereunder, and each reference in the Loan Documents to a “Guarantor” shall also mean and be a reference to such Person, and each reference in any other Loan Document to a “Guarantor” shall also mean and be a reference to such Person, and (ii) each reference in the Loan Documents to “the Guaranty”, “thereunder”, “thereof” or words of like import referring to this Guaranty, shall mean and be a reference to this Guaranty as supplemented by such Guaranty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-852805</wp:posOffset>
            </wp:positionV>
            <wp:extent cx="13906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4.12 </w:t>
      </w:r>
      <w:r>
        <w:rPr>
          <w:rFonts w:ascii="Times New Roman" w:cs="Times New Roman" w:eastAsia="Times New Roman" w:hAnsi="Times New Roman"/>
          <w:sz w:val="22"/>
          <w:szCs w:val="22"/>
          <w:color w:val="000000"/>
        </w:rPr>
        <w:t>Keepwell. Each Qualified ECP Guarantor hereby jointly and severally absolutely, unconditionally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irrevocably undertakes to provide such funds or other support as may be needed from time to time by each other Loan Party to honor all of its obligations under this Guaranty in respect of Obligations that are Swap Obligations (provided, however, that each Qualified ECP Guarantor shall only be liable under this </w:t>
      </w:r>
      <w:r>
        <w:rPr>
          <w:rFonts w:ascii="Times New Roman" w:cs="Times New Roman" w:eastAsia="Times New Roman" w:hAnsi="Times New Roman"/>
          <w:sz w:val="22"/>
          <w:szCs w:val="22"/>
          <w:u w:val="single" w:color="auto"/>
          <w:color w:val="000000"/>
        </w:rPr>
        <w:t>Section 4.12</w:t>
      </w:r>
      <w:r>
        <w:rPr>
          <w:rFonts w:ascii="Times New Roman" w:cs="Times New Roman" w:eastAsia="Times New Roman" w:hAnsi="Times New Roman"/>
          <w:sz w:val="22"/>
          <w:szCs w:val="22"/>
          <w:color w:val="000000"/>
        </w:rPr>
        <w:t xml:space="preserve"> for the maximum amount of such liability that can be hereby incurred without rendering its obligations under this </w:t>
      </w:r>
      <w:r>
        <w:rPr>
          <w:rFonts w:ascii="Times New Roman" w:cs="Times New Roman" w:eastAsia="Times New Roman" w:hAnsi="Times New Roman"/>
          <w:sz w:val="22"/>
          <w:szCs w:val="22"/>
          <w:u w:val="single" w:color="auto"/>
          <w:color w:val="000000"/>
        </w:rPr>
        <w:t>Section 4.12</w:t>
      </w:r>
      <w:r>
        <w:rPr>
          <w:rFonts w:ascii="Times New Roman" w:cs="Times New Roman" w:eastAsia="Times New Roman" w:hAnsi="Times New Roman"/>
          <w:sz w:val="22"/>
          <w:szCs w:val="22"/>
          <w:color w:val="000000"/>
        </w:rPr>
        <w:t xml:space="preserve">, or otherwise under this Guaranty, as it relates to such other Loan Party, voidable under applicable law relating to fraudulent conveyance or fraudulent transfer, and not for any greater amount). The obligations of each Qualified ECP Guarantor under this Section shall remain in full force and effect in accordance with </w:t>
      </w:r>
      <w:r>
        <w:rPr>
          <w:rFonts w:ascii="Times New Roman" w:cs="Times New Roman" w:eastAsia="Times New Roman" w:hAnsi="Times New Roman"/>
          <w:sz w:val="22"/>
          <w:szCs w:val="22"/>
          <w:u w:val="single" w:color="auto"/>
          <w:color w:val="000000"/>
        </w:rPr>
        <w:t>Section 4.06</w:t>
      </w:r>
      <w:r>
        <w:rPr>
          <w:rFonts w:ascii="Times New Roman" w:cs="Times New Roman" w:eastAsia="Times New Roman" w:hAnsi="Times New Roman"/>
          <w:sz w:val="22"/>
          <w:szCs w:val="22"/>
          <w:color w:val="000000"/>
        </w:rPr>
        <w:t>. Each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-1180465</wp:posOffset>
            </wp:positionV>
            <wp:extent cx="6883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5" w:name="page146"/>
    <w:bookmarkEnd w:id="14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ECP Guarantor intends that this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constitute, and this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shall be deemed to constitute, a “keepwell, support, or other agreement” for the benefit of each other Loan Party for all purposes of Section 1a(18)(A)(v)(II) of the Commodity Exchange Act.</w:t>
      </w:r>
    </w:p>
    <w:p>
      <w:pPr>
        <w:spacing w:after="0" w:line="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-29210</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5.01 </w:t>
      </w:r>
      <w:r>
        <w:rPr>
          <w:rFonts w:ascii="Times New Roman" w:cs="Times New Roman" w:eastAsia="Times New Roman" w:hAnsi="Times New Roman"/>
          <w:sz w:val="22"/>
          <w:szCs w:val="22"/>
          <w:color w:val="000000"/>
        </w:rPr>
        <w:t>Conditions of Initial Credit Extension. The obligation of each L/C Issuer and each Lender to make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initial Credit Extension hereunder is subject to the satisfaction of the following conditions precedent on or prior to the date of such initial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-355600</wp:posOffset>
            </wp:positionV>
            <wp:extent cx="2244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jc w:val="both"/>
        <w:ind w:left="660" w:firstLine="644"/>
        <w:spacing w:after="0" w:line="247" w:lineRule="auto"/>
        <w:tabs>
          <w:tab w:leader="none" w:pos="1885"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Execution of Loan Documents and Notes</w:t>
      </w:r>
      <w:r>
        <w:rPr>
          <w:rFonts w:ascii="Times New Roman" w:cs="Times New Roman" w:eastAsia="Times New Roman" w:hAnsi="Times New Roman"/>
          <w:sz w:val="22"/>
          <w:szCs w:val="22"/>
          <w:color w:val="auto"/>
        </w:rPr>
        <w:t>. The Administrative Agent’s receipt of the following, each of which shall be originals or facsimiles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6" w:lineRule="exact"/>
        <w:rPr>
          <w:rFonts w:ascii="Times New Roman" w:cs="Times New Roman" w:eastAsia="Times New Roman" w:hAnsi="Times New Roman"/>
          <w:sz w:val="22"/>
          <w:szCs w:val="22"/>
          <w:color w:val="010000"/>
        </w:rPr>
      </w:pPr>
    </w:p>
    <w:p>
      <w:pPr>
        <w:jc w:val="both"/>
        <w:ind w:left="1300" w:firstLine="652"/>
        <w:spacing w:after="0" w:line="263" w:lineRule="auto"/>
        <w:tabs>
          <w:tab w:leader="none" w:pos="2491"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Credit Agreement duly executed and delivered by each of the Borrower, the Guarantors, the Lenders named on the signature pages hereof, the Swingline Lender, the L/C Issuers and the Administrative Agent;</w:t>
      </w:r>
    </w:p>
    <w:p>
      <w:pPr>
        <w:spacing w:after="0" w:line="167"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Note executed by the Borrower in favor of each Lender requesting a Note; and</w:t>
      </w:r>
    </w:p>
    <w:p>
      <w:pPr>
        <w:spacing w:after="0" w:line="219" w:lineRule="exact"/>
        <w:rPr>
          <w:rFonts w:ascii="Times New Roman" w:cs="Times New Roman" w:eastAsia="Times New Roman" w:hAnsi="Times New Roman"/>
          <w:sz w:val="22"/>
          <w:szCs w:val="22"/>
          <w:color w:val="010000"/>
        </w:rPr>
      </w:pPr>
    </w:p>
    <w:p>
      <w:pPr>
        <w:jc w:val="both"/>
        <w:ind w:left="1300" w:firstLine="652"/>
        <w:spacing w:after="0" w:line="295" w:lineRule="auto"/>
        <w:tabs>
          <w:tab w:leader="none" w:pos="2509" w:val="left"/>
        </w:tabs>
        <w:numPr>
          <w:ilvl w:val="1"/>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Pledge Agreement, the Security Agreement and the Intellectual Property Security Agreement(s), each duly executed and delivered by each of the Loan Parties party thereto and the Collateral Agent, together with:</w:t>
      </w:r>
    </w:p>
    <w:p>
      <w:pPr>
        <w:spacing w:after="0" w:line="135" w:lineRule="exact"/>
        <w:rPr>
          <w:rFonts w:ascii="Times New Roman" w:cs="Times New Roman" w:eastAsia="Times New Roman" w:hAnsi="Times New Roman"/>
          <w:sz w:val="21"/>
          <w:szCs w:val="21"/>
          <w:color w:val="010000"/>
        </w:rPr>
      </w:pPr>
    </w:p>
    <w:p>
      <w:pPr>
        <w:jc w:val="both"/>
        <w:ind w:left="1960" w:firstLine="640"/>
        <w:spacing w:after="0" w:line="263" w:lineRule="auto"/>
        <w:tabs>
          <w:tab w:leader="none" w:pos="3250"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not previously provided to the Collateral Agent, with respect to the Pledge Agreement, certificates representing the Pledged Equity Interests referred to therein accompanied by undated stock powers executed in blank;</w:t>
      </w:r>
    </w:p>
    <w:p>
      <w:pPr>
        <w:spacing w:after="0" w:line="167" w:lineRule="exact"/>
        <w:rPr>
          <w:rFonts w:ascii="Times New Roman" w:cs="Times New Roman" w:eastAsia="Times New Roman" w:hAnsi="Times New Roman"/>
          <w:sz w:val="22"/>
          <w:szCs w:val="22"/>
          <w:color w:val="010000"/>
        </w:rPr>
      </w:pPr>
    </w:p>
    <w:p>
      <w:pPr>
        <w:jc w:val="both"/>
        <w:ind w:left="1960" w:firstLine="640"/>
        <w:spacing w:after="0" w:line="257" w:lineRule="auto"/>
        <w:tabs>
          <w:tab w:leader="none" w:pos="3152"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results of recent Uniform Commercial Code, tax, intellectual property and judgment lien searches in each relevant jurisdiction with respect to the Loan Parties, which searches shall reveal no Liens on any of the assets of the Loan Parties except for Liens permitted by this Credit Agreement;</w:t>
      </w:r>
    </w:p>
    <w:p>
      <w:pPr>
        <w:spacing w:after="0" w:line="186" w:lineRule="exact"/>
        <w:rPr>
          <w:rFonts w:ascii="Times New Roman" w:cs="Times New Roman" w:eastAsia="Times New Roman" w:hAnsi="Times New Roman"/>
          <w:sz w:val="22"/>
          <w:szCs w:val="22"/>
          <w:color w:val="010000"/>
        </w:rPr>
      </w:pPr>
    </w:p>
    <w:p>
      <w:pPr>
        <w:jc w:val="both"/>
        <w:ind w:left="1960" w:firstLine="640"/>
        <w:spacing w:after="0" w:line="252" w:lineRule="auto"/>
        <w:tabs>
          <w:tab w:leader="none" w:pos="3128"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proper UCC-1 Financing Statements filed or in form appropriate for filing under the Uniform Commercial Code of all jurisdictions, if any, that the Collateral Agent may deem necessary in order to perfect the Liens created under each of the Collateral Documents, covering the Collateral described in the Collateral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6" w:name="page147"/>
    <w:bookmarkEnd w:id="146"/>
    <w:p>
      <w:pPr>
        <w:jc w:val="both"/>
        <w:ind w:left="1960" w:firstLine="640"/>
        <w:spacing w:after="0" w:line="257" w:lineRule="auto"/>
        <w:tabs>
          <w:tab w:leader="none" w:pos="3268" w:val="left"/>
        </w:tabs>
        <w:numPr>
          <w:ilvl w:val="2"/>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evidence that all other action that the Collateral Agent may deem necessary in order to perfect the Liens created under the Collateral Documents has been taken (including receipt of duly executed payoff letters and UCC-3 termination statements, if any).</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884"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Signatures</w:t>
      </w:r>
      <w:r>
        <w:rPr>
          <w:rFonts w:ascii="Times New Roman" w:cs="Times New Roman" w:eastAsia="Times New Roman" w:hAnsi="Times New Roman"/>
          <w:sz w:val="22"/>
          <w:szCs w:val="22"/>
          <w:color w:val="auto"/>
        </w:rPr>
        <w:t>. Each of the Loan Parties shall have certified to the Administrative Agent (with copies to be provided for each Lender) the name and signature of each of the persons authorized (i) to sign on its respective behalf this Credit Agreement and each of the other Loan Documents to which it is a party and (ii) in the case of the Borrower, to borrow under this Credit Agreement. The Lenders may conclusively rely on such certifications until they receive notice in writing from such Loan Party, as the case may be, to the contrary.</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49" w:lineRule="auto"/>
        <w:tabs>
          <w:tab w:leader="none" w:pos="185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Loan Certificates</w:t>
      </w:r>
      <w:r>
        <w:rPr>
          <w:rFonts w:ascii="Times New Roman" w:cs="Times New Roman" w:eastAsia="Times New Roman" w:hAnsi="Times New Roman"/>
          <w:sz w:val="22"/>
          <w:szCs w:val="22"/>
          <w:color w:val="auto"/>
        </w:rPr>
        <w:t xml:space="preserve">. The Administrative Agent shall have received a loan certificate of each Loan Party, in substantially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together with appropriate attachments which shall include, without limitation, the following items: (i) a true, complete and correct copy of the articles of incorporation, certificate of limited partnership or certificate of formation or organization of such Loan Party, certified by the Secretary of State of such Loan Party’s organization, (ii) a true, complete and correct copy of the by-laws, partnership agreement or limited liability company or operating agreement of such Loan Party, (iii) a copy of the resolutions of the board of directors or other appropriate entity of such Loan Party authorizing the execution, delivery and performance by such Loan Party of this Credit Agreement and the other Loan Documents to which it is a party and, with respect to the Borrower, authorizing the borrowings hereunder, and (iv) certificates of existence of such Loan Party issued by the Secretary of State or similar state official for the state of such Loan Party’s organization.</w:t>
      </w:r>
    </w:p>
    <w:p>
      <w:pPr>
        <w:spacing w:after="0" w:line="183"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Opinions of Counsel to the Borrower and the Other Loan Parties</w:t>
      </w:r>
      <w:r>
        <w:rPr>
          <w:rFonts w:ascii="Times New Roman" w:cs="Times New Roman" w:eastAsia="Times New Roman" w:hAnsi="Times New Roman"/>
          <w:sz w:val="21"/>
          <w:szCs w:val="21"/>
          <w:color w:val="auto"/>
        </w:rPr>
        <w:t>. The Lenders shall have received favorable</w:t>
      </w:r>
    </w:p>
    <w:p>
      <w:pPr>
        <w:spacing w:after="0" w:line="39" w:lineRule="exact"/>
        <w:rPr>
          <w:rFonts w:ascii="Times New Roman" w:cs="Times New Roman" w:eastAsia="Times New Roman" w:hAnsi="Times New Roman"/>
          <w:sz w:val="21"/>
          <w:szCs w:val="21"/>
          <w:color w:val="010000"/>
        </w:rPr>
      </w:pP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opinions of:</w:t>
      </w:r>
    </w:p>
    <w:p>
      <w:pPr>
        <w:spacing w:after="0" w:line="195" w:lineRule="exact"/>
        <w:rPr>
          <w:rFonts w:ascii="Times New Roman" w:cs="Times New Roman" w:eastAsia="Times New Roman" w:hAnsi="Times New Roman"/>
          <w:sz w:val="21"/>
          <w:szCs w:val="21"/>
          <w:color w:val="010000"/>
        </w:rPr>
      </w:pPr>
    </w:p>
    <w:p>
      <w:pPr>
        <w:ind w:left="2560" w:hanging="608"/>
        <w:spacing w:after="0"/>
        <w:tabs>
          <w:tab w:leader="none" w:pos="2560" w:val="left"/>
        </w:tabs>
        <w:numPr>
          <w:ilvl w:val="1"/>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general counsel for the Borrower and the other Loan Parties, substantially in the form of</w:t>
      </w:r>
    </w:p>
    <w:p>
      <w:pPr>
        <w:spacing w:after="0" w:line="29" w:lineRule="exact"/>
        <w:rPr>
          <w:rFonts w:ascii="Times New Roman" w:cs="Times New Roman" w:eastAsia="Times New Roman" w:hAnsi="Times New Roman"/>
          <w:sz w:val="22"/>
          <w:szCs w:val="22"/>
          <w:color w:val="010000"/>
        </w:rPr>
      </w:pPr>
    </w:p>
    <w:p>
      <w:pPr>
        <w:ind w:left="13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and</w:t>
      </w:r>
    </w:p>
    <w:p>
      <w:pPr>
        <w:spacing w:after="0" w:line="207" w:lineRule="exact"/>
        <w:rPr>
          <w:rFonts w:ascii="Times New Roman" w:cs="Times New Roman" w:eastAsia="Times New Roman" w:hAnsi="Times New Roman"/>
          <w:sz w:val="22"/>
          <w:szCs w:val="22"/>
          <w:color w:val="010000"/>
        </w:rPr>
      </w:pPr>
    </w:p>
    <w:p>
      <w:pPr>
        <w:ind w:left="1300" w:right="20" w:firstLine="652"/>
        <w:spacing w:after="0" w:line="271" w:lineRule="auto"/>
        <w:tabs>
          <w:tab w:leader="none" w:pos="2505" w:val="left"/>
        </w:tabs>
        <w:numPr>
          <w:ilvl w:val="1"/>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Sullivan &amp; Cromwell LLP, special New York counsel to the Borrower and the other Loan Parties,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and covering such other matters as any Lender or Lenders or special New York counsel to the Administrative Agent, Hughes Hubbard &amp; Reed LLP, may reasonably request (and for purposes of such opinions such counsel may rely upon opinions of counsel in other jurisdictions,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other counsel are reasonably satisfactory to special counsel to the Administrative Agent and such other opinions state that the Lenders are entitled to rely thereon).</w:t>
      </w:r>
    </w:p>
    <w:p>
      <w:pPr>
        <w:spacing w:after="0" w:line="176" w:lineRule="exact"/>
        <w:rPr>
          <w:sz w:val="20"/>
          <w:szCs w:val="20"/>
          <w:color w:val="auto"/>
        </w:rPr>
      </w:pPr>
    </w:p>
    <w:p>
      <w:pPr>
        <w:ind w:left="660" w:firstLine="644"/>
        <w:spacing w:after="0" w:line="271" w:lineRule="auto"/>
        <w:tabs>
          <w:tab w:leader="none" w:pos="1777"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The Administrative Agent shall have received, pursuant to </w:t>
      </w:r>
      <w:r>
        <w:rPr>
          <w:rFonts w:ascii="Times New Roman" w:cs="Times New Roman" w:eastAsia="Times New Roman" w:hAnsi="Times New Roman"/>
          <w:sz w:val="22"/>
          <w:szCs w:val="22"/>
          <w:u w:val="single" w:color="auto"/>
          <w:color w:val="auto"/>
        </w:rPr>
        <w:t>Section 5.02(c)</w:t>
      </w:r>
      <w:r>
        <w:rPr>
          <w:rFonts w:ascii="Times New Roman" w:cs="Times New Roman" w:eastAsia="Times New Roman" w:hAnsi="Times New Roman"/>
          <w:sz w:val="22"/>
          <w:szCs w:val="22"/>
          <w:color w:val="auto"/>
        </w:rPr>
        <w:t xml:space="preserve">, a certificate of a senior executive of the Company certifying compliance with clauses (a) and (b) of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7" w:name="page148"/>
    <w:bookmarkEnd w:id="147"/>
    <w:p>
      <w:pPr>
        <w:jc w:val="both"/>
        <w:ind w:left="660" w:firstLine="644"/>
        <w:spacing w:after="0" w:line="252" w:lineRule="auto"/>
        <w:tabs>
          <w:tab w:leader="none" w:pos="178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xml:space="preserve">. Such other documents, filings, instruments and papers relating to the documents referred to herein and the transactions contemplated hereby as any Lender or special counsel to the Administrative Agent shall reasonably require shall have been received by the Administrative Agent, including information reasonably requested as described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66" w:lineRule="auto"/>
        <w:tabs>
          <w:tab w:leader="none" w:pos="1776" w:val="left"/>
        </w:tabs>
        <w:numPr>
          <w:ilvl w:val="0"/>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Certain Fees</w:t>
      </w:r>
      <w:r>
        <w:rPr>
          <w:rFonts w:ascii="Times New Roman" w:cs="Times New Roman" w:eastAsia="Times New Roman" w:hAnsi="Times New Roman"/>
          <w:sz w:val="21"/>
          <w:szCs w:val="21"/>
          <w:color w:val="auto"/>
        </w:rPr>
        <w:t>. All fees required to be paid to the Administrative Agent, the Joint Lead Arrangers and the other Lenders on or before the Closing Date shall have been paid (including, without limitation, the fees payable under the Arrangement Fee Letters). Unless waived by the Administrative Agent, the Borrower shall have paid all fees, charges and disbursements of counsel to the Administrative Agent to the extent properly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estimate shall not thereafter preclude a final settling of accounts between the Borrower and the Administrative Agent).</w:t>
      </w:r>
    </w:p>
    <w:p>
      <w:pPr>
        <w:spacing w:after="0" w:line="165" w:lineRule="exact"/>
        <w:rPr>
          <w:rFonts w:ascii="Times New Roman" w:cs="Times New Roman" w:eastAsia="Times New Roman" w:hAnsi="Times New Roman"/>
          <w:sz w:val="21"/>
          <w:szCs w:val="21"/>
          <w:color w:val="010000"/>
        </w:rPr>
      </w:pPr>
    </w:p>
    <w:p>
      <w:pPr>
        <w:jc w:val="both"/>
        <w:ind w:left="660" w:firstLine="644"/>
        <w:spacing w:after="0" w:line="257" w:lineRule="auto"/>
        <w:tabs>
          <w:tab w:leader="none" w:pos="1803"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xml:space="preserve">. The Borrower shall have obtained all consents and approvals of, and made all filings and registrations with, any Governmental Authority set forth on </w:t>
      </w:r>
      <w:r>
        <w:rPr>
          <w:rFonts w:ascii="Times New Roman" w:cs="Times New Roman" w:eastAsia="Times New Roman" w:hAnsi="Times New Roman"/>
          <w:sz w:val="22"/>
          <w:szCs w:val="22"/>
          <w:u w:val="single" w:color="auto"/>
          <w:color w:val="auto"/>
        </w:rPr>
        <w:t>Schedule 6.03</w:t>
      </w:r>
      <w:r>
        <w:rPr>
          <w:rFonts w:ascii="Times New Roman" w:cs="Times New Roman" w:eastAsia="Times New Roman" w:hAnsi="Times New Roman"/>
          <w:sz w:val="22"/>
          <w:szCs w:val="22"/>
          <w:color w:val="auto"/>
        </w:rPr>
        <w:t xml:space="preserve"> required with respect to this Credit Agreement and the transactions contemplated hereby (other than as specified in </w:t>
      </w:r>
      <w:r>
        <w:rPr>
          <w:rFonts w:ascii="Times New Roman" w:cs="Times New Roman" w:eastAsia="Times New Roman" w:hAnsi="Times New Roman"/>
          <w:sz w:val="22"/>
          <w:szCs w:val="22"/>
          <w:u w:val="single" w:color="auto"/>
          <w:color w:val="auto"/>
        </w:rPr>
        <w:t>Schedule 6.03</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903"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Administrative Agent shall have received (a) audited consolidated financial statements of the Company and its subsidiaries for the two fiscal years ended December 31, 2016, and (b) unaudited consolidated financial statements of the Company and its subsidiaries (subject to year-end and audit adjustments) for any interim quarterly periods that have ended since the most recent of such audited financial statements and at least 45 days prior to the Closing Date.</w:t>
      </w:r>
    </w:p>
    <w:p>
      <w:pPr>
        <w:spacing w:after="0" w:line="178" w:lineRule="exact"/>
        <w:rPr>
          <w:rFonts w:ascii="Times New Roman" w:cs="Times New Roman" w:eastAsia="Times New Roman" w:hAnsi="Times New Roman"/>
          <w:sz w:val="22"/>
          <w:szCs w:val="22"/>
          <w:color w:val="010000"/>
        </w:rPr>
      </w:pPr>
    </w:p>
    <w:p>
      <w:pPr>
        <w:jc w:val="both"/>
        <w:ind w:left="660" w:right="20" w:firstLine="644"/>
        <w:spacing w:after="0" w:line="263" w:lineRule="auto"/>
        <w:tabs>
          <w:tab w:leader="none" w:pos="176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A Solvency Certificate attesting to the Solvency of the Company and its Subsidiaries, taken as a whole, after giving effect to the incurrence of indebtedness related thereto, from the chief financial officer of the Company.</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68" w:lineRule="auto"/>
        <w:tabs>
          <w:tab w:leader="none" w:pos="1843" w:val="left"/>
        </w:tabs>
        <w:numPr>
          <w:ilvl w:val="0"/>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First A&amp;R Credit Agreement</w:t>
      </w:r>
      <w:r>
        <w:rPr>
          <w:rFonts w:ascii="Times New Roman" w:cs="Times New Roman" w:eastAsia="Times New Roman" w:hAnsi="Times New Roman"/>
          <w:sz w:val="21"/>
          <w:szCs w:val="21"/>
          <w:color w:val="auto"/>
        </w:rPr>
        <w:t>. The Lenders shall have received satisfactory evidence that all commitments under the First A&amp;R Credit Agreement are being terminated, and all Loans outstanding thereunder are being paid in full, concurrently with the Closing Date. The Company shall have paid to the Administrative Agent all interest, letter of credit fees and commitment fees which are unpaid and accrued to the Closing Date under the First A&amp;R Credit Agreement.</w:t>
      </w:r>
    </w:p>
    <w:p>
      <w:pPr>
        <w:spacing w:after="0" w:line="176" w:lineRule="exact"/>
        <w:rPr>
          <w:rFonts w:ascii="Times New Roman" w:cs="Times New Roman" w:eastAsia="Times New Roman" w:hAnsi="Times New Roman"/>
          <w:sz w:val="21"/>
          <w:szCs w:val="21"/>
          <w:color w:val="010000"/>
        </w:rPr>
      </w:pPr>
    </w:p>
    <w:p>
      <w:pPr>
        <w:jc w:val="both"/>
        <w:ind w:left="660" w:firstLine="644"/>
        <w:spacing w:after="0" w:line="252" w:lineRule="auto"/>
        <w:tabs>
          <w:tab w:leader="none" w:pos="1795"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“Know Your Customer” Requirements</w:t>
      </w:r>
      <w:r>
        <w:rPr>
          <w:rFonts w:ascii="Times New Roman" w:cs="Times New Roman" w:eastAsia="Times New Roman" w:hAnsi="Times New Roman"/>
          <w:sz w:val="22"/>
          <w:szCs w:val="22"/>
          <w:color w:val="auto"/>
        </w:rPr>
        <w:t>. The Administrative Agent and each Lender shall have received all documentation and other information required by regulatory authorities with respect to the Loan Parties reasonably requested by the Administrative Agent or such Lender under applicable “know your customer” and anti-money laundering rules and regulations, including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8" w:name="page149"/>
    <w:bookmarkEnd w:id="148"/>
    <w:p>
      <w:pPr>
        <w:ind w:left="660" w:firstLine="644"/>
        <w:spacing w:after="0" w:line="271" w:lineRule="auto"/>
        <w:tabs>
          <w:tab w:leader="none" w:pos="1849"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Materially Adverse Effect</w:t>
      </w:r>
      <w:r>
        <w:rPr>
          <w:rFonts w:ascii="Times New Roman" w:cs="Times New Roman" w:eastAsia="Times New Roman" w:hAnsi="Times New Roman"/>
          <w:sz w:val="22"/>
          <w:szCs w:val="22"/>
          <w:color w:val="auto"/>
        </w:rPr>
        <w:t>. Except as disclosed in the Company’s filings with the SEC made prior to the Closing Date, there shall not have occurred since December 31, 2016 any Materially Adverse Effect.</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803"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The Administrative Agent shall have received a Request for Credit Extension in accordance with the requirements hereof.</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each Lender that has signed this Credit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5.02 </w:t>
      </w:r>
      <w:r>
        <w:rPr>
          <w:rFonts w:ascii="Times New Roman" w:cs="Times New Roman" w:eastAsia="Times New Roman" w:hAnsi="Times New Roman"/>
          <w:sz w:val="22"/>
          <w:szCs w:val="22"/>
          <w:color w:val="000000"/>
        </w:rPr>
        <w:t>Conditions to all Credit Extensions. The obligation of each L/C Issuer and each Lender to make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each Credit Extension hereunder (which shall not include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000000"/>
        </w:rPr>
        <w:t xml:space="preserve"> any conversion or continuation of any outstanding Loan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u w:val="single" w:color="auto"/>
          <w:color w:val="0000FF"/>
        </w:rPr>
        <w:t>, (ii)</w:t>
      </w:r>
      <w:r>
        <w:rPr>
          <w:rFonts w:ascii="Times New Roman" w:cs="Times New Roman" w:eastAsia="Times New Roman" w:hAnsi="Times New Roman"/>
          <w:sz w:val="22"/>
          <w:szCs w:val="22"/>
          <w:color w:val="000000"/>
        </w:rPr>
        <w:t xml:space="preserve"> any Credit Extension the proceeds of which are to reimburse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color w:val="000000"/>
        </w:rPr>
        <w:t xml:space="preserve"> the Swingline Lender for Swingline Loans or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iii) any Credit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Extension the proceeds of which are to reimburse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 L/C Issuer for amounts drawn under a Letter of Credit issued by such L/C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Issuer) is subject to the additional conditions precedent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-690245</wp:posOffset>
            </wp:positionV>
            <wp:extent cx="2150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0745"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-570230</wp:posOffset>
            </wp:positionV>
            <wp:extent cx="148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660" w:firstLine="644"/>
        <w:spacing w:after="0" w:line="248" w:lineRule="auto"/>
        <w:tabs>
          <w:tab w:leader="none" w:pos="1833"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Default or Event of Default shall have occurred and be continuing or would result from such proposed Credit Extension or from the application of proceeds thereof;</w:t>
      </w:r>
    </w:p>
    <w:p>
      <w:pPr>
        <w:spacing w:after="0" w:line="195" w:lineRule="exact"/>
        <w:rPr>
          <w:rFonts w:ascii="Times New Roman" w:cs="Times New Roman" w:eastAsia="Times New Roman" w:hAnsi="Times New Roman"/>
          <w:sz w:val="22"/>
          <w:szCs w:val="22"/>
          <w:color w:val="010000"/>
        </w:rPr>
      </w:pPr>
    </w:p>
    <w:p>
      <w:pPr>
        <w:jc w:val="both"/>
        <w:ind w:left="660" w:firstLine="644"/>
        <w:spacing w:after="0" w:line="259" w:lineRule="auto"/>
        <w:tabs>
          <w:tab w:leader="none" w:pos="1852" w:val="left"/>
        </w:tabs>
        <w:numPr>
          <w:ilvl w:val="0"/>
          <w:numId w:val="1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representations and warranties of the Borrower and each other Loan Party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hereof or any other Loan Document, or which are contained in any document furnished at any time under or in connection herewith or therewith, shall be true and correct, in all material respects </w:t>
      </w:r>
      <w:r>
        <w:rPr>
          <w:rFonts w:ascii="Times New Roman" w:cs="Times New Roman" w:eastAsia="Times New Roman" w:hAnsi="Times New Roman"/>
          <w:sz w:val="21"/>
          <w:szCs w:val="21"/>
          <w:color w:val="0000FF"/>
        </w:rPr>
        <w:t>(and in all respects if any such representation or warranty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already qualified by materiality)</w:t>
      </w:r>
      <w:r>
        <w:rPr>
          <w:rFonts w:ascii="Times New Roman" w:cs="Times New Roman" w:eastAsia="Times New Roman" w:hAnsi="Times New Roman"/>
          <w:sz w:val="21"/>
          <w:szCs w:val="21"/>
          <w:color w:val="000000"/>
        </w:rPr>
        <w:t>, on and as of the date of the making of, and after giving effect to, such Credit Extension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with the same force and effect as if made on and as of such date, except to the extent that such representations and warranties expressly relate to an earlier date, in which case they shall be true and correct, in all material respects, as of such earlier date, and except that for purposes of this </w:t>
      </w:r>
      <w:r>
        <w:rPr>
          <w:rFonts w:ascii="Times New Roman" w:cs="Times New Roman" w:eastAsia="Times New Roman" w:hAnsi="Times New Roman"/>
          <w:sz w:val="21"/>
          <w:szCs w:val="21"/>
          <w:u w:val="single" w:color="auto"/>
          <w:color w:val="000000"/>
        </w:rPr>
        <w:t>Section 5.02</w:t>
      </w:r>
      <w:r>
        <w:rPr>
          <w:rFonts w:ascii="Times New Roman" w:cs="Times New Roman" w:eastAsia="Times New Roman" w:hAnsi="Times New Roman"/>
          <w:sz w:val="21"/>
          <w:szCs w:val="21"/>
          <w:color w:val="000000"/>
        </w:rPr>
        <w:t xml:space="preserve">, the representations and warranties contained in </w:t>
      </w:r>
      <w:r>
        <w:rPr>
          <w:rFonts w:ascii="Times New Roman" w:cs="Times New Roman" w:eastAsia="Times New Roman" w:hAnsi="Times New Roman"/>
          <w:sz w:val="21"/>
          <w:szCs w:val="21"/>
          <w:u w:val="single" w:color="auto"/>
          <w:color w:val="000000"/>
        </w:rPr>
        <w:t>Section 6.04(a)</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(b)</w:t>
      </w:r>
      <w:r>
        <w:rPr>
          <w:rFonts w:ascii="Times New Roman" w:cs="Times New Roman" w:eastAsia="Times New Roman" w:hAnsi="Times New Roman"/>
          <w:sz w:val="21"/>
          <w:szCs w:val="21"/>
          <w:color w:val="000000"/>
        </w:rPr>
        <w:t xml:space="preserve"> shall be deemed to refer to the most recent statements furnished pursuant to </w:t>
      </w:r>
      <w:r>
        <w:rPr>
          <w:rFonts w:ascii="Times New Roman" w:cs="Times New Roman" w:eastAsia="Times New Roman" w:hAnsi="Times New Roman"/>
          <w:sz w:val="21"/>
          <w:szCs w:val="21"/>
          <w:u w:val="single" w:color="auto"/>
          <w:color w:val="000000"/>
        </w:rPr>
        <w:t>Section 7.01(b)</w:t>
      </w:r>
      <w:r>
        <w:rPr>
          <w:rFonts w:ascii="Times New Roman" w:cs="Times New Roman" w:eastAsia="Times New Roman" w:hAnsi="Times New Roman"/>
          <w:sz w:val="21"/>
          <w:szCs w:val="21"/>
          <w:color w:val="000000"/>
        </w:rPr>
        <w:t xml:space="preserve"> and</w:t>
      </w:r>
    </w:p>
    <w:p>
      <w:pPr>
        <w:spacing w:after="0" w:line="4" w:lineRule="exact"/>
        <w:rPr>
          <w:rFonts w:ascii="Times New Roman" w:cs="Times New Roman" w:eastAsia="Times New Roman" w:hAnsi="Times New Roman"/>
          <w:sz w:val="21"/>
          <w:szCs w:val="21"/>
          <w:color w:val="010000"/>
        </w:rPr>
      </w:pP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respectively;</w:t>
      </w:r>
    </w:p>
    <w:p>
      <w:pPr>
        <w:spacing w:after="0" w:line="195" w:lineRule="exact"/>
        <w:rPr>
          <w:rFonts w:ascii="Times New Roman" w:cs="Times New Roman" w:eastAsia="Times New Roman" w:hAnsi="Times New Roman"/>
          <w:sz w:val="21"/>
          <w:szCs w:val="21"/>
          <w:color w:val="010000"/>
        </w:rPr>
      </w:pPr>
    </w:p>
    <w:p>
      <w:pPr>
        <w:ind w:left="660" w:firstLine="644"/>
        <w:spacing w:after="0" w:line="284" w:lineRule="auto"/>
        <w:tabs>
          <w:tab w:leader="none" w:pos="1797"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requested by the Administrative Agent or any Lender, a senior executive of the Company shall have certified compliance with clauses (a) and (b) above to the Administrative Agent; and</w:t>
      </w:r>
    </w:p>
    <w:p>
      <w:pPr>
        <w:spacing w:after="0" w:line="143" w:lineRule="exact"/>
        <w:rPr>
          <w:rFonts w:ascii="Times New Roman" w:cs="Times New Roman" w:eastAsia="Times New Roman" w:hAnsi="Times New Roman"/>
          <w:sz w:val="22"/>
          <w:szCs w:val="22"/>
          <w:color w:val="010000"/>
        </w:rPr>
      </w:pPr>
    </w:p>
    <w:p>
      <w:pPr>
        <w:ind w:left="660" w:firstLine="644"/>
        <w:spacing w:after="0" w:line="271" w:lineRule="auto"/>
        <w:tabs>
          <w:tab w:leader="none" w:pos="1803"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 and, if applicable, the relevant L/C Issuer shall have received a Request for Credit Extension in accordance with the requirements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-1973580</wp:posOffset>
            </wp:positionV>
            <wp:extent cx="34213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49" w:name="page150"/>
    <w:bookmarkEnd w:id="149"/>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Borrower shall be deemed to have made a representation and warranty hereunder as of the time of each Credit Extension hereunder that the conditions specified in such clauses have been fulfilled as of such time.</w:t>
      </w:r>
    </w:p>
    <w:p>
      <w:pPr>
        <w:spacing w:after="0" w:line="1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Loan Party represents and warrants to the Administrative Agent and the Lenders as follows:</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6.01 </w:t>
      </w:r>
      <w:r>
        <w:rPr>
          <w:rFonts w:ascii="Times New Roman" w:cs="Times New Roman" w:eastAsia="Times New Roman" w:hAnsi="Times New Roman"/>
          <w:sz w:val="22"/>
          <w:szCs w:val="22"/>
          <w:color w:val="000000"/>
        </w:rPr>
        <w:t>Existence, Qualification and Power. Each Loan Party and each of their Restricted Subsidiaries is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limited or general partnership, limited liability company or corporation duly organized, validly existing and in good standing (to the extent applicable under the laws of the jurisdiction that such entity is formed under) under the Laws of its jurisdiction of organization and is duly qualified to transact business and is in good standing in all jurisdictions in which such qualification is necessary in view of the properties and assets owned and presently intended to be owned and the business transacted and presently intended to be transacted by it except for qualifications the lack of which, singly or in the aggregate, have not had and are not likely to have a Materially Adverse Effect, and each Loan Party and each of their Restricted Subsidiaries has full power, authority and legal right to perform its obligations under this Credit Agreement, the Notes and the other Loan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-1341120</wp:posOffset>
            </wp:positionV>
            <wp:extent cx="21139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6.02 </w:t>
      </w:r>
      <w:r>
        <w:rPr>
          <w:rFonts w:ascii="Times New Roman" w:cs="Times New Roman" w:eastAsia="Times New Roman" w:hAnsi="Times New Roman"/>
          <w:sz w:val="22"/>
          <w:szCs w:val="22"/>
          <w:color w:val="000000"/>
        </w:rPr>
        <w:t>Subsidiaries; Affiliates; Loan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Schedules 1.01(i)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1.01(ii)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contain a complete and correct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list, as of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Effective Date, of all Restricted Subsidiaries and Unrestricted Subsidiaries of the Company, respectively, and a description of the legal nature of such Subsidiaries (including, with respect to each Restricted Subsidiary, the jurisdiction of its incorporation or organization, the address of its principal place of business and its U.S. taxpayer identification number), the nature of the ownership interests (shares of stock or general or limited partnership or other interests) in such Subsidiaries and the holders of such interests and, except as disclosed to the Lenders in writing prior to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Effective Date, the Company and each of its Subsidiaries owns all of the ownership interests of its Subsidiaries indicated in such schedules as being owned by the Company or such Subsidiary, as the case may be, free and clear of all Liens except those created under the Collateral Documents, and all such ownership interests are validly issued and, in the case of shares of stock,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-1508760</wp:posOffset>
            </wp:positionV>
            <wp:extent cx="2174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6.03 </w:t>
      </w:r>
      <w:r>
        <w:rPr>
          <w:rFonts w:ascii="Times New Roman" w:cs="Times New Roman" w:eastAsia="Times New Roman" w:hAnsi="Times New Roman"/>
          <w:sz w:val="22"/>
          <w:szCs w:val="22"/>
          <w:color w:val="000000"/>
        </w:rPr>
        <w:t>Authority; No Conflict. The execution, delivery and performance by each of the Loan Parties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each Loan Document to which it is a party, and each Credit Extension hereunder, have been duly authorized by all necessary corporate or other organizational action and do not and will not: (a) subject to the consummation of the action described in </w:t>
      </w:r>
      <w:r>
        <w:rPr>
          <w:rFonts w:ascii="Times New Roman" w:cs="Times New Roman" w:eastAsia="Times New Roman" w:hAnsi="Times New Roman"/>
          <w:sz w:val="22"/>
          <w:szCs w:val="22"/>
          <w:u w:val="single" w:color="auto"/>
          <w:color w:val="000000"/>
        </w:rPr>
        <w:t>Section 6.12</w:t>
      </w:r>
      <w:r>
        <w:rPr>
          <w:rFonts w:ascii="Times New Roman" w:cs="Times New Roman" w:eastAsia="Times New Roman" w:hAnsi="Times New Roman"/>
          <w:sz w:val="22"/>
          <w:szCs w:val="22"/>
          <w:color w:val="000000"/>
        </w:rPr>
        <w:t xml:space="preserve"> hereof, violate any Law currently in effect (other than violations that, singly or in the aggregate, have not had and are not likely to have a Materially Adverse Effect), or any provision of any of the Company’s or the Restricted Subsidiaries’ respective organizational documents presently in effect; (b) conflict with or result in the breach of, or constitute a default or require any consent (except for the consents described on </w:t>
      </w:r>
      <w:r>
        <w:rPr>
          <w:rFonts w:ascii="Times New Roman" w:cs="Times New Roman" w:eastAsia="Times New Roman" w:hAnsi="Times New Roman"/>
          <w:sz w:val="22"/>
          <w:szCs w:val="22"/>
          <w:u w:val="single" w:color="auto"/>
          <w:color w:val="000000"/>
        </w:rPr>
        <w:t>Schedule 6.03</w:t>
      </w:r>
      <w:r>
        <w:rPr>
          <w:rFonts w:ascii="Times New Roman" w:cs="Times New Roman" w:eastAsia="Times New Roman" w:hAnsi="Times New Roman"/>
          <w:sz w:val="22"/>
          <w:szCs w:val="22"/>
          <w:color w:val="000000"/>
        </w:rPr>
        <w:t>, each of which has been duly obtained) under, or require any payment to be made under (i) any Contractual Obligation to which the Company or any of the Restricted Subsidiaries is a party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-1356360</wp:posOffset>
            </wp:positionV>
            <wp:extent cx="1455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2"/>
          <w:szCs w:val="22"/>
          <w:color w:val="auto"/>
        </w:rPr>
        <w:t>their respective properties may be bound or affected or (ii) any order, injunction, writ or decree of any Governmental Authority or any arbitral award to which the Company or any of the Restricted Subsidiaries or their respective properties are subject (in each case, other than any conflict, breach, default or required consent that, singly or in the aggregate, have not had and are not likely to have a Materially Adverse Effect); or (c) except as provided under any Loan Document, result in, or require, the creation or imposition of any Lien upon or with respect to any of the properties or assets now owned or hereafter acquired by the Company or any of the Restricted Subsidiaries.</w:t>
      </w:r>
    </w:p>
    <w:p>
      <w:pPr>
        <w:spacing w:after="0" w:line="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6.04</w:t>
      </w:r>
      <w:r>
        <w:rPr>
          <w:sz w:val="20"/>
          <w:szCs w:val="20"/>
          <w:color w:val="auto"/>
        </w:rPr>
        <w:tab/>
      </w:r>
      <w:r>
        <w:rPr>
          <w:rFonts w:ascii="Times New Roman" w:cs="Times New Roman" w:eastAsia="Times New Roman" w:hAnsi="Times New Roman"/>
          <w:sz w:val="21"/>
          <w:szCs w:val="21"/>
          <w:color w:val="auto"/>
        </w:rPr>
        <w:t>Financial Condition. The Company has furnished to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1230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jc w:val="both"/>
        <w:ind w:left="660" w:firstLine="644"/>
        <w:spacing w:after="0" w:line="249" w:lineRule="auto"/>
        <w:tabs>
          <w:tab w:leader="none" w:pos="1792"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consolidated balance sheet of the Company as of December 31, </w:t>
      </w:r>
      <w:r>
        <w:rPr>
          <w:rFonts w:ascii="Times New Roman" w:cs="Times New Roman" w:eastAsia="Times New Roman" w:hAnsi="Times New Roman"/>
          <w:sz w:val="22"/>
          <w:szCs w:val="22"/>
          <w:color w:val="FF0000"/>
          <w:strike w:val="1"/>
        </w:rPr>
        <w:t>2016</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and the related consolidated statement of operations and stockholders’ equity or deficiency for the fiscal year ended on said date, said financial statements having been certified by a Registered Public Accounting Firm of nationally recognized standing reasonably acceptable to the Required Lenders; and</w:t>
      </w:r>
    </w:p>
    <w:p>
      <w:pPr>
        <w:spacing w:after="0" w:line="181" w:lineRule="exact"/>
        <w:rPr>
          <w:rFonts w:ascii="Times New Roman" w:cs="Times New Roman" w:eastAsia="Times New Roman" w:hAnsi="Times New Roman"/>
          <w:sz w:val="22"/>
          <w:szCs w:val="22"/>
          <w:color w:val="010000"/>
        </w:rPr>
      </w:pPr>
    </w:p>
    <w:p>
      <w:pPr>
        <w:ind w:left="660" w:firstLine="644"/>
        <w:spacing w:after="0" w:line="271" w:lineRule="auto"/>
        <w:tabs>
          <w:tab w:leader="none" w:pos="1807"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unaudited consolidated balance sheet of the Company as of </w:t>
      </w:r>
      <w:r>
        <w:rPr>
          <w:rFonts w:ascii="Times New Roman" w:cs="Times New Roman" w:eastAsia="Times New Roman" w:hAnsi="Times New Roman"/>
          <w:sz w:val="22"/>
          <w:szCs w:val="22"/>
          <w:color w:val="FF0000"/>
          <w:strike w:val="1"/>
        </w:rPr>
        <w:t>March 31</w:t>
      </w:r>
      <w:r>
        <w:rPr>
          <w:rFonts w:ascii="Times New Roman" w:cs="Times New Roman" w:eastAsia="Times New Roman" w:hAnsi="Times New Roman"/>
          <w:sz w:val="22"/>
          <w:szCs w:val="22"/>
          <w:u w:val="single" w:color="auto"/>
          <w:color w:val="0000FF"/>
        </w:rPr>
        <w:t>September 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2017</w:t>
      </w:r>
      <w:r>
        <w:rPr>
          <w:rFonts w:ascii="Times New Roman" w:cs="Times New Roman" w:eastAsia="Times New Roman" w:hAnsi="Times New Roman"/>
          <w:sz w:val="22"/>
          <w:szCs w:val="22"/>
          <w:u w:val="single" w:color="auto"/>
          <w:color w:val="0000FF"/>
        </w:rPr>
        <w:t>2025</w:t>
      </w:r>
      <w:r>
        <w:rPr>
          <w:rFonts w:ascii="Times New Roman" w:cs="Times New Roman" w:eastAsia="Times New Roman" w:hAnsi="Times New Roman"/>
          <w:sz w:val="22"/>
          <w:szCs w:val="22"/>
          <w:color w:val="auto"/>
        </w:rPr>
        <w:t>, and the related consolidated statement of operations for the Quarter then ended.</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All financial statements referred to above (i) are complete and correct in all material respects (subject, in the case of the unaudited financial statements referred to above, to year-end and audit adjustments), (ii) were prepared in accordance with GAAP consistently applied throughout the period covered thereby, except as otherwise expressly noted therein, and (iii) fairly present the financial condition of the respective entity or groups of entities which is or are the subject of such financial statements (as stated above), on a consolidated basis, as of the respective dates of the balance sheets included in such financial statements and the results of operations of such entity or groups of entities for the respective periods ended on said dates.</w:t>
      </w:r>
    </w:p>
    <w:p>
      <w:pPr>
        <w:spacing w:after="0" w:line="16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None of the Company and its Restricted Subsidiaries had on any of said dates any material contingent liabilities, liabilities for Taxes, unusual forward or long-term commitments or unrealized or anticipated losses from any unfavorable commitments or operations which are substantial in amount, except as referred to or reflected or provided for in said financial statements of the Company and its consolidated Subsidiaries as of said respective dates or as disclosed to the Lenders in writing prior to the Closing Date. Except as disclosed to the Lenders in writing prior to the Amendment No.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since December 31, </w:t>
      </w:r>
      <w:r>
        <w:rPr>
          <w:rFonts w:ascii="Times New Roman" w:cs="Times New Roman" w:eastAsia="Times New Roman" w:hAnsi="Times New Roman"/>
          <w:sz w:val="22"/>
          <w:szCs w:val="22"/>
          <w:color w:val="FF0000"/>
          <w:strike w:val="1"/>
        </w:rPr>
        <w:t>2019</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xml:space="preserve">, there has been no material adverse change in the financial condition (from that shown by the respective balance sheet as of December 31, </w:t>
      </w:r>
      <w:r>
        <w:rPr>
          <w:rFonts w:ascii="Times New Roman" w:cs="Times New Roman" w:eastAsia="Times New Roman" w:hAnsi="Times New Roman"/>
          <w:sz w:val="22"/>
          <w:szCs w:val="22"/>
          <w:color w:val="FF0000"/>
          <w:strike w:val="1"/>
        </w:rPr>
        <w:t>2019</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xml:space="preserve"> included in said financial statements) or the businesses or operations of the Company and the Restricted Subsidiaries taken as a whole on a pro forma combined basis (after giving effect to the Indebtedness contemplated to be incurred on the Amendment No.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and the use of proceeds thereof).</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Section 6.05 </w:t>
      </w:r>
      <w:r>
        <w:rPr>
          <w:rFonts w:ascii="Times New Roman" w:cs="Times New Roman" w:eastAsia="Times New Roman" w:hAnsi="Times New Roman"/>
          <w:sz w:val="22"/>
          <w:szCs w:val="22"/>
          <w:color w:val="000000"/>
        </w:rPr>
        <w:t>Litigation, Compliance with 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FF0000"/>
          <w:strike w:val="1"/>
        </w:rPr>
        <w:t>Except</w:t>
      </w:r>
      <w:r>
        <w:rPr>
          <w:rFonts w:ascii="Times New Roman" w:cs="Times New Roman" w:eastAsia="Times New Roman" w:hAnsi="Times New Roman"/>
          <w:sz w:val="22"/>
          <w:szCs w:val="22"/>
          <w:u w:val="single" w:color="auto"/>
          <w:color w:val="0000FF"/>
        </w:rPr>
        <w:t>As of the Amendment No. 5 Effective Date, except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disclosed </w:t>
      </w:r>
      <w:r>
        <w:rPr>
          <w:rFonts w:ascii="Times New Roman" w:cs="Times New Roman" w:eastAsia="Times New Roman" w:hAnsi="Times New Roman"/>
          <w:sz w:val="22"/>
          <w:szCs w:val="22"/>
          <w:color w:val="FF0000"/>
          <w:strike w:val="1"/>
        </w:rPr>
        <w:t>to the Lenders</w:t>
      </w:r>
      <w:r>
        <w:rPr>
          <w:rFonts w:ascii="Times New Roman" w:cs="Times New Roman" w:eastAsia="Times New Roman" w:hAnsi="Times New Roman"/>
          <w:sz w:val="22"/>
          <w:szCs w:val="22"/>
          <w:color w:val="000000"/>
        </w:rPr>
        <w:t xml:space="preserve"> on </w:t>
      </w:r>
      <w:r>
        <w:rPr>
          <w:rFonts w:ascii="Times New Roman" w:cs="Times New Roman" w:eastAsia="Times New Roman" w:hAnsi="Times New Roman"/>
          <w:sz w:val="22"/>
          <w:szCs w:val="22"/>
          <w:u w:val="single" w:color="auto"/>
          <w:color w:val="000000"/>
        </w:rPr>
        <w:t>Schedule 6.05</w:t>
      </w:r>
      <w:r>
        <w:rPr>
          <w:rFonts w:ascii="Times New Roman" w:cs="Times New Roman" w:eastAsia="Times New Roman" w:hAnsi="Times New Roman"/>
          <w:sz w:val="22"/>
          <w:szCs w:val="22"/>
          <w:color w:val="000000"/>
        </w:rPr>
        <w:t xml:space="preserve">, there are no actions, suits, proceedings, claims or disputes pending, or to the knowledge of any Loan Party threatened, against any Loan Party or any Restricted Subsidiary or any of their respective properties or assets, before any court or arbitrator or by or before any Governmental Authority that </w:t>
      </w:r>
      <w:r>
        <w:rPr>
          <w:rFonts w:ascii="Times New Roman" w:cs="Times New Roman" w:eastAsia="Times New Roman" w:hAnsi="Times New Roman"/>
          <w:sz w:val="22"/>
          <w:szCs w:val="22"/>
          <w:u w:val="single" w:color="auto"/>
          <w:color w:val="0000FF"/>
        </w:rPr>
        <w:t>have a reasonable probability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of being determined adversely and, if determined adversely</w:t>
      </w:r>
      <w:r>
        <w:rPr>
          <w:rFonts w:ascii="Times New Roman" w:cs="Times New Roman" w:eastAsia="Times New Roman" w:hAnsi="Times New Roman"/>
          <w:sz w:val="22"/>
          <w:szCs w:val="22"/>
          <w:color w:val="000000"/>
        </w:rPr>
        <w:t>, singly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-699770</wp:posOffset>
            </wp:positionV>
            <wp:extent cx="20961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6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51" w:name="page152"/>
    <w:bookmarkEnd w:id="15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aggregate, </w:t>
      </w:r>
      <w:r>
        <w:rPr>
          <w:rFonts w:ascii="Times New Roman" w:cs="Times New Roman" w:eastAsia="Times New Roman" w:hAnsi="Times New Roman"/>
          <w:sz w:val="22"/>
          <w:szCs w:val="22"/>
          <w:color w:val="FF0000"/>
          <w:strike w:val="1"/>
        </w:rPr>
        <w:t>could</w:t>
      </w:r>
      <w:r>
        <w:rPr>
          <w:rFonts w:ascii="Times New Roman" w:cs="Times New Roman" w:eastAsia="Times New Roman" w:hAnsi="Times New Roman"/>
          <w:sz w:val="22"/>
          <w:szCs w:val="22"/>
          <w:u w:val="single" w:color="auto"/>
          <w:color w:val="0000FF"/>
        </w:rPr>
        <w:t>would</w:t>
      </w:r>
      <w:r>
        <w:rPr>
          <w:rFonts w:ascii="Times New Roman" w:cs="Times New Roman" w:eastAsia="Times New Roman" w:hAnsi="Times New Roman"/>
          <w:sz w:val="22"/>
          <w:szCs w:val="22"/>
          <w:color w:val="auto"/>
        </w:rPr>
        <w:t xml:space="preserve"> reasonably be expected to have a Materially Adverse Effect. None of the Loan Parties or any Restricted Subsidiary is in default under or in violation of or with respect to any Laws or any writ, injunction or decree of any court, arbitrator or Governmental Authority, except for (a) defaults or violations that have been cured or remedied on or prior to the date of this Credit Agreement and (b) defaults or violations which, if continued unremedied, would not be reasonably expected to have a Materially Adverse Effect.</w:t>
      </w:r>
    </w:p>
    <w:p>
      <w:pPr>
        <w:spacing w:after="0" w:line="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6.06 </w:t>
      </w:r>
      <w:r>
        <w:rPr>
          <w:rFonts w:ascii="Times New Roman" w:cs="Times New Roman" w:eastAsia="Times New Roman" w:hAnsi="Times New Roman"/>
          <w:sz w:val="22"/>
          <w:szCs w:val="22"/>
          <w:color w:val="000000"/>
        </w:rPr>
        <w:t>Titles and Liens.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7.17</w:t>
      </w:r>
      <w:r>
        <w:rPr>
          <w:rFonts w:ascii="Times New Roman" w:cs="Times New Roman" w:eastAsia="Times New Roman" w:hAnsi="Times New Roman"/>
          <w:sz w:val="22"/>
          <w:szCs w:val="22"/>
          <w:color w:val="000000"/>
        </w:rPr>
        <w:t>, each of the Loan Parties and the Restricted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Subsidiaries has good title to its properties and assets, free and clear of all Liens, except those permitted by </w:t>
      </w:r>
      <w:r>
        <w:rPr>
          <w:rFonts w:ascii="Times New Roman" w:cs="Times New Roman" w:eastAsia="Times New Roman" w:hAnsi="Times New Roman"/>
          <w:sz w:val="22"/>
          <w:szCs w:val="22"/>
          <w:u w:val="single" w:color="auto"/>
          <w:color w:val="000000"/>
        </w:rPr>
        <w:t>Section 7.17</w:t>
      </w:r>
      <w:r>
        <w:rPr>
          <w:rFonts w:ascii="Times New Roman" w:cs="Times New Roman" w:eastAsia="Times New Roman" w:hAnsi="Times New Roman"/>
          <w:sz w:val="22"/>
          <w:szCs w:val="22"/>
          <w:color w:val="000000"/>
        </w:rPr>
        <w:t>. To the knowledge of the Loan Parties, each of the Loan Parties and their Restricted Subsidiaries owns, or has the right to use, all Intellectual Property necessary for each of them to conduct its business substantially in the same manner as currently conducted, except to the extent that the failure to own or have such right would not be reasonably expected to have a Materially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-853440</wp:posOffset>
            </wp:positionV>
            <wp:extent cx="1047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010000"/>
        </w:rPr>
        <w:t xml:space="preserve">Section 6.07 </w:t>
      </w:r>
      <w:r>
        <w:rPr>
          <w:rFonts w:ascii="Times New Roman" w:cs="Times New Roman" w:eastAsia="Times New Roman" w:hAnsi="Times New Roman"/>
          <w:sz w:val="22"/>
          <w:szCs w:val="22"/>
          <w:color w:val="000000"/>
        </w:rPr>
        <w:t>Regulation U; Investment Company Act. (r) None of the proceeds of any of the Credit Extensions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used to purchase or carry, or to reduce or retire or refinance any credit incurred to purchase or carry, any Margin Stock or to extend credit to others for the purpose of purchasing or carrying any Margin Stock. If requested by the Administrative Agent or any Lender, the Company will furnish to the Administrative Agent or such Lender statements in conformity with the requirements of Regulation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-681990</wp:posOffset>
            </wp:positionV>
            <wp:extent cx="2397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97125" cy="8255"/>
                    </a:xfrm>
                    <a:prstGeom prst="rect">
                      <a:avLst/>
                    </a:prstGeom>
                    <a:noFill/>
                  </pic:spPr>
                </pic:pic>
              </a:graphicData>
            </a:graphic>
          </wp:anchor>
        </w:drawing>
      </w:r>
    </w:p>
    <w:p>
      <w:pPr>
        <w:ind w:firstLine="1304"/>
        <w:spacing w:after="0" w:line="259" w:lineRule="auto"/>
        <w:tabs>
          <w:tab w:leader="none" w:pos="1779"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Company</w:t>
      </w:r>
      <w:r>
        <w:rPr>
          <w:rFonts w:ascii="Times New Roman" w:cs="Times New Roman" w:eastAsia="Times New Roman" w:hAnsi="Times New Roman"/>
          <w:sz w:val="22"/>
          <w:szCs w:val="22"/>
          <w:color w:val="FF0000"/>
          <w:strike w:val="1"/>
        </w:rPr>
        <w:t>, any Person Controlling the Company,</w:t>
      </w:r>
      <w:r>
        <w:rPr>
          <w:rFonts w:ascii="Times New Roman" w:cs="Times New Roman" w:eastAsia="Times New Roman" w:hAnsi="Times New Roman"/>
          <w:sz w:val="22"/>
          <w:szCs w:val="22"/>
          <w:color w:val="auto"/>
        </w:rPr>
        <w:t xml:space="preserve"> or any </w:t>
      </w:r>
      <w:r>
        <w:rPr>
          <w:rFonts w:ascii="Times New Roman" w:cs="Times New Roman" w:eastAsia="Times New Roman" w:hAnsi="Times New Roman"/>
          <w:sz w:val="22"/>
          <w:szCs w:val="22"/>
          <w:color w:val="FF0000"/>
          <w:strike w:val="1"/>
        </w:rPr>
        <w:t>Subsidiary</w:t>
      </w:r>
      <w:r>
        <w:rPr>
          <w:rFonts w:ascii="Times New Roman" w:cs="Times New Roman" w:eastAsia="Times New Roman" w:hAnsi="Times New Roman"/>
          <w:sz w:val="22"/>
          <w:szCs w:val="22"/>
          <w:u w:val="single" w:color="auto"/>
          <w:color w:val="0000FF"/>
        </w:rPr>
        <w:t>Guarantor</w:t>
      </w:r>
      <w:r>
        <w:rPr>
          <w:rFonts w:ascii="Times New Roman" w:cs="Times New Roman" w:eastAsia="Times New Roman" w:hAnsi="Times New Roman"/>
          <w:sz w:val="22"/>
          <w:szCs w:val="22"/>
          <w:color w:val="auto"/>
        </w:rPr>
        <w:t xml:space="preserve"> is or is required to be registered as an “investment company” under the Investment Company Act of 1940.</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6.08 </w:t>
      </w:r>
      <w:r>
        <w:rPr>
          <w:rFonts w:ascii="Times New Roman" w:cs="Times New Roman" w:eastAsia="Times New Roman" w:hAnsi="Times New Roman"/>
          <w:sz w:val="22"/>
          <w:szCs w:val="22"/>
          <w:color w:val="000000"/>
        </w:rPr>
        <w:t>Taxes. Each of the Loan Parties and the Restricted Subsidiaries has filed all Federal, state and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material tax returns that are required to be filed under any law applicable thereto except such returns as to which the failure to file, singly or in the aggregate, has not had and will not have a Materially Adverse Effect, and has paid, or made provision for the payment of, all Taxes shown to be due pursuant to said returns or pursuant to any assessment received by any of the Loan Parties or any of the Restricted Subsidiaries, except such Taxes, if any, as are being contested in good faith and as to which adequate reserves have been provided or as to which the failure to pay, singly or in the aggregate, has not had and is not likely to have a Materially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-1015365</wp:posOffset>
            </wp:positionV>
            <wp:extent cx="452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6.09 </w:t>
      </w:r>
      <w:r>
        <w:rPr>
          <w:rFonts w:ascii="Times New Roman" w:cs="Times New Roman" w:eastAsia="Times New Roman" w:hAnsi="Times New Roman"/>
          <w:sz w:val="22"/>
          <w:szCs w:val="22"/>
          <w:color w:val="000000"/>
        </w:rPr>
        <w:t>Senior Debt. The Obligations constitute “</w:t>
      </w:r>
      <w:r>
        <w:rPr>
          <w:rFonts w:ascii="Times New Roman" w:cs="Times New Roman" w:eastAsia="Times New Roman" w:hAnsi="Times New Roman"/>
          <w:sz w:val="22"/>
          <w:szCs w:val="22"/>
          <w:u w:val="single" w:color="auto"/>
          <w:color w:val="000000"/>
        </w:rPr>
        <w:t>Senior Debt</w:t>
      </w:r>
      <w:r>
        <w:rPr>
          <w:rFonts w:ascii="Times New Roman" w:cs="Times New Roman" w:eastAsia="Times New Roman" w:hAnsi="Times New Roman"/>
          <w:sz w:val="22"/>
          <w:szCs w:val="22"/>
          <w:color w:val="000000"/>
        </w:rPr>
        <w:t>” (or the equivalent term) as such term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defined in each Subordinated Debt Document to which the Company or any of its Restricted Subsidiaries is a party and that contains such a definition or any similar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-364490</wp:posOffset>
            </wp:positionV>
            <wp:extent cx="873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73125"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color w:val="000000"/>
        </w:rPr>
        <w:t>Full Disclosure. (s) None of the financial statements referred to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6.04</w:t>
      </w:r>
      <w:r>
        <w:rPr>
          <w:rFonts w:ascii="Times New Roman" w:cs="Times New Roman" w:eastAsia="Times New Roman" w:hAnsi="Times New Roman"/>
          <w:sz w:val="22"/>
          <w:szCs w:val="22"/>
          <w:color w:val="000000"/>
        </w:rPr>
        <w:t>, certificates 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written statements delivered by or on behalf of any Loan Party to the Administrative Agent or any Lender contains, as of the Closing Date, any untrue statement of a material fact nor do such financial statements, certificates and such other written statements, taken as a whole, omit to state a material fact necessary to make the statements contained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-688340</wp:posOffset>
            </wp:positionV>
            <wp:extent cx="10045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4570" cy="8890"/>
                    </a:xfrm>
                    <a:prstGeom prst="rect">
                      <a:avLst/>
                    </a:prstGeom>
                    <a:noFill/>
                  </pic:spPr>
                </pic:pic>
              </a:graphicData>
            </a:graphic>
          </wp:anchor>
        </w:drawing>
      </w:r>
    </w:p>
    <w:p>
      <w:pPr>
        <w:jc w:val="both"/>
        <w:ind w:firstLine="1304"/>
        <w:spacing w:after="0" w:line="245" w:lineRule="auto"/>
        <w:tabs>
          <w:tab w:leader="none" w:pos="1762"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Amendment No. 3 Effective Date, to the best knowledge of the Borrower, the information included in the Beneficial Ownership Certification provided on or prior to the Amendment No. 3 Effective Date to any Lender in connection with Amendment No. 3 is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6" w:right="339" w:bottom="1440" w:gutter="0" w:footer="0" w:header="0"/>
        </w:sectPr>
      </w:pPr>
    </w:p>
    <w:bookmarkStart w:id="152" w:name="page153"/>
    <w:bookmarkEnd w:id="152"/>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6.11 </w:t>
      </w:r>
      <w:r>
        <w:rPr>
          <w:rFonts w:ascii="Times New Roman" w:cs="Times New Roman" w:eastAsia="Times New Roman" w:hAnsi="Times New Roman"/>
          <w:sz w:val="22"/>
          <w:szCs w:val="22"/>
          <w:color w:val="000000"/>
        </w:rPr>
        <w:t>No Default. None of the Loan Parties or their Restricted Subsidiaries is in default in the payment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performance or observance of any material Contractual Obligation, which default, either alone or in conjunction with all other such defaults, has had or is likely to have a Materially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-355600</wp:posOffset>
            </wp:positionV>
            <wp:extent cx="750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6.12 </w:t>
      </w:r>
      <w:r>
        <w:rPr>
          <w:rFonts w:ascii="Times New Roman" w:cs="Times New Roman" w:eastAsia="Times New Roman" w:hAnsi="Times New Roman"/>
          <w:sz w:val="22"/>
          <w:szCs w:val="22"/>
          <w:color w:val="000000"/>
        </w:rPr>
        <w:t>Governmental and Third Party Approvals.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6.03</w:t>
      </w:r>
      <w:r>
        <w:rPr>
          <w:rFonts w:ascii="Times New Roman" w:cs="Times New Roman" w:eastAsia="Times New Roman" w:hAnsi="Times New Roman"/>
          <w:sz w:val="22"/>
          <w:szCs w:val="22"/>
          <w:color w:val="000000"/>
        </w:rPr>
        <w:t>, no approval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consent of, or filing or registration with, any (x) Governmental Authority or (y) any other third party, in the case of this clause (y) pursuant to any Contractual Obligation that is material to the business of the Company or any of its Restricted Subsidiaries, is required in connection with (a) the execution, delivery and performance by, or enforcement against, any of the Loan Parties of any Loan Document to which it is a party, (b) the grant by any of the Loan Parties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All approvals, consents, filings, registrations or other actions described in </w:t>
      </w:r>
      <w:r>
        <w:rPr>
          <w:rFonts w:ascii="Times New Roman" w:cs="Times New Roman" w:eastAsia="Times New Roman" w:hAnsi="Times New Roman"/>
          <w:sz w:val="22"/>
          <w:szCs w:val="22"/>
          <w:u w:val="single" w:color="auto"/>
          <w:color w:val="000000"/>
        </w:rPr>
        <w:t>Schedule 6.03</w:t>
      </w:r>
      <w:r>
        <w:rPr>
          <w:rFonts w:ascii="Times New Roman" w:cs="Times New Roman" w:eastAsia="Times New Roman" w:hAnsi="Times New Roman"/>
          <w:sz w:val="22"/>
          <w:szCs w:val="22"/>
          <w:color w:val="000000"/>
        </w:rPr>
        <w:t xml:space="preserve"> have been duly obtained, taken, given or made and are in full force and effect (other than as set forth in </w:t>
      </w:r>
      <w:r>
        <w:rPr>
          <w:rFonts w:ascii="Times New Roman" w:cs="Times New Roman" w:eastAsia="Times New Roman" w:hAnsi="Times New Roman"/>
          <w:sz w:val="22"/>
          <w:szCs w:val="22"/>
          <w:u w:val="single" w:color="auto"/>
          <w:color w:val="000000"/>
        </w:rPr>
        <w:t>Schedule 6.03</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-1508760</wp:posOffset>
            </wp:positionV>
            <wp:extent cx="25342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6.13 </w:t>
      </w:r>
      <w:r>
        <w:rPr>
          <w:rFonts w:ascii="Times New Roman" w:cs="Times New Roman" w:eastAsia="Times New Roman" w:hAnsi="Times New Roman"/>
          <w:sz w:val="22"/>
          <w:szCs w:val="22"/>
          <w:color w:val="000000"/>
        </w:rPr>
        <w:t>Binding Agreements. This Credit Agreement and each Loan Document entered into prior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Effective Date has been duly executed and constitutes, and each other Loan Document when executed and delivered will constitute, the legal, valid and binding obligations of each of the Loan Parties that is a party thereto, enforceable in accordance with their respective terms (except for limitations on enforceability under bankruptcy, reorganization, insolvency and other similar laws affecting creditors’ rights generally and limitations on the availability of the remedy of specific performance imposed by the application of general equitable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-852805</wp:posOffset>
            </wp:positionV>
            <wp:extent cx="13449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jc w:val="both"/>
        <w:ind w:firstLine="1296"/>
        <w:spacing w:after="0" w:line="257" w:lineRule="auto"/>
        <w:rPr>
          <w:sz w:val="20"/>
          <w:szCs w:val="20"/>
          <w:color w:val="auto"/>
        </w:rPr>
      </w:pPr>
      <w:r>
        <w:rPr>
          <w:rFonts w:ascii="Times New Roman" w:cs="Times New Roman" w:eastAsia="Times New Roman" w:hAnsi="Times New Roman"/>
          <w:sz w:val="21"/>
          <w:szCs w:val="21"/>
          <w:color w:val="010000"/>
        </w:rPr>
        <w:t xml:space="preserve">Section 6.14 </w:t>
      </w:r>
      <w:r>
        <w:rPr>
          <w:rFonts w:ascii="Times New Roman" w:cs="Times New Roman" w:eastAsia="Times New Roman" w:hAnsi="Times New Roman"/>
          <w:sz w:val="21"/>
          <w:szCs w:val="21"/>
          <w:color w:val="000000"/>
        </w:rPr>
        <w:t>Anti-Corruption Laws and Sanctions. The Company has implemented and maintains in effect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policies and procedures designed to ensure compliance by the Company, its Subsidiaries and their respective directors, officers, employees and agents with Anti-Corruption Laws and applicable Sanctions, and the Company, its Subsidiaries, and to the knowledge of the Company, their respective directors, officers, employees and agents,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 contemplated by the Credit Agreement will result in a violation by the Loan Parties of Anti-Corruption Laws or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-1346200</wp:posOffset>
            </wp:positionV>
            <wp:extent cx="2315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6.15</w:t>
      </w:r>
      <w:r>
        <w:rPr>
          <w:sz w:val="20"/>
          <w:szCs w:val="20"/>
          <w:color w:val="auto"/>
        </w:rPr>
        <w:tab/>
      </w:r>
      <w:r>
        <w:rPr>
          <w:rFonts w:ascii="Times New Roman" w:cs="Times New Roman" w:eastAsia="Times New Roman" w:hAnsi="Times New Roman"/>
          <w:sz w:val="21"/>
          <w:szCs w:val="21"/>
          <w:color w:val="auto"/>
        </w:rPr>
        <w:t>No Affected Financial Institution. Neither the Borrower nor any Guarantor is an Affected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1967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7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Institution.</w:t>
      </w:r>
    </w:p>
    <w:p>
      <w:pPr>
        <w:spacing w:after="0" w:line="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6.16 </w:t>
      </w:r>
      <w:r>
        <w:rPr>
          <w:rFonts w:ascii="Times New Roman" w:cs="Times New Roman" w:eastAsia="Times New Roman" w:hAnsi="Times New Roman"/>
          <w:sz w:val="22"/>
          <w:szCs w:val="22"/>
          <w:color w:val="000000"/>
        </w:rPr>
        <w:t>ERISA Compliance. (t) Except that would not reasonably be expected to have a Materially Adverse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Effect, (i) neither the Company nor any ERISA Affiliate has, as a result of maintaining or terminating a Plan or withdrawing from a Multiemployer Plan, (A) incurred, or reasonably expects to incur, any liability under Title IV of ERISA with respect to any Plan, (B) incurred, or reasonably expects to incur, any liability under Section 4201 or 4203 of ERISA with respect to a Multiemployer Plan, or (C) engaged in a transaction during the past five years that could be subject to Section 4069 or 4212(c) of ERISA; (ii) no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-856615</wp:posOffset>
            </wp:positionV>
            <wp:extent cx="12306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3" w:name="page154"/>
    <w:bookmarkEnd w:id="153"/>
    <w:p>
      <w:pPr>
        <w:jc w:val="both"/>
        <w:spacing w:after="0" w:line="248" w:lineRule="auto"/>
        <w:rPr>
          <w:sz w:val="20"/>
          <w:szCs w:val="20"/>
          <w:color w:val="auto"/>
        </w:rPr>
      </w:pPr>
      <w:r>
        <w:rPr>
          <w:rFonts w:ascii="Times New Roman" w:cs="Times New Roman" w:eastAsia="Times New Roman" w:hAnsi="Times New Roman"/>
          <w:sz w:val="22"/>
          <w:szCs w:val="22"/>
          <w:color w:val="auto"/>
        </w:rPr>
        <w:t>Event has occurred or is reasonably expected to occur with respect to any Plan; (iii) neither the Company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reasonably expected to be insolvent or in “endangered” or “critical” status.</w:t>
      </w:r>
    </w:p>
    <w:p>
      <w:pPr>
        <w:spacing w:after="0" w:line="1" w:lineRule="exact"/>
        <w:rPr>
          <w:sz w:val="20"/>
          <w:szCs w:val="20"/>
          <w:color w:val="auto"/>
        </w:rPr>
      </w:pPr>
    </w:p>
    <w:p>
      <w:pPr>
        <w:jc w:val="both"/>
        <w:ind w:firstLine="1304"/>
        <w:spacing w:after="0" w:line="248" w:lineRule="auto"/>
        <w:tabs>
          <w:tab w:leader="none" w:pos="1772"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none of the assets used to make any Loan constitute “plan assets” (within the meaning of the Plan Asset Regulations), neither the execution, delivery nor performance of the transactions contemplated under this Credit Agreement, including the making of any Loan hereunder, will give rise to a non-exempt prohibited transaction under Section 406 of ERISA or Section 4975 of the Code.</w:t>
      </w:r>
    </w:p>
    <w:p>
      <w:pPr>
        <w:spacing w:after="0" w:line="1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2"/>
          <w:szCs w:val="22"/>
          <w:color w:val="010000"/>
        </w:rPr>
        <w:t xml:space="preserve">Section 6.17 </w:t>
      </w:r>
      <w:r>
        <w:rPr>
          <w:rFonts w:ascii="Times New Roman" w:cs="Times New Roman" w:eastAsia="Times New Roman" w:hAnsi="Times New Roman"/>
          <w:sz w:val="22"/>
          <w:szCs w:val="22"/>
          <w:color w:val="000000"/>
        </w:rPr>
        <w:t>Solvency. As of the Closing Date, the Loan Parties and their Restricted Subsidiaries, taken as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whole, after giving effect to the transactions contemplated hereby and by the other Loan Documents, are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-202565</wp:posOffset>
            </wp:positionV>
            <wp:extent cx="6991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010000"/>
        </w:rPr>
        <w:t xml:space="preserve">Section 6.18 </w:t>
      </w:r>
      <w:r>
        <w:rPr>
          <w:rFonts w:ascii="Times New Roman" w:cs="Times New Roman" w:eastAsia="Times New Roman" w:hAnsi="Times New Roman"/>
          <w:sz w:val="22"/>
          <w:szCs w:val="22"/>
          <w:color w:val="000000"/>
        </w:rPr>
        <w:t>Casualty, Etc. Except as would not individually or in the aggregate, reasonably be expected to have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Materially Adverse Effect, since December 31, 2016, neither the businesses nor the properties of any Loan Party or any Restricted Subsidiary is or has been affected by any fire, explosion, accident or other casualty (whether or not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-519430</wp:posOffset>
            </wp:positionV>
            <wp:extent cx="902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02335"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6.19 </w:t>
      </w:r>
      <w:r>
        <w:rPr>
          <w:rFonts w:ascii="Times New Roman" w:cs="Times New Roman" w:eastAsia="Times New Roman" w:hAnsi="Times New Roman"/>
          <w:sz w:val="22"/>
          <w:szCs w:val="22"/>
          <w:color w:val="000000"/>
        </w:rPr>
        <w:t>Collateral Documents. The provisions of the Collateral Documents are effective to create in favor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of the Collateral Agent for the benefit of the Secured Parties a legal, valid and enforceable first priority Lien (subject to Liens permitted by </w:t>
      </w:r>
      <w:r>
        <w:rPr>
          <w:rFonts w:ascii="Times New Roman" w:cs="Times New Roman" w:eastAsia="Times New Roman" w:hAnsi="Times New Roman"/>
          <w:sz w:val="22"/>
          <w:szCs w:val="22"/>
          <w:u w:val="single" w:color="auto"/>
          <w:color w:val="000000"/>
        </w:rPr>
        <w:t>Section 7.17</w:t>
      </w:r>
      <w:r>
        <w:rPr>
          <w:rFonts w:ascii="Times New Roman" w:cs="Times New Roman" w:eastAsia="Times New Roman" w:hAnsi="Times New Roman"/>
          <w:sz w:val="22"/>
          <w:szCs w:val="22"/>
          <w:color w:val="000000"/>
        </w:rPr>
        <w:t>) on all right, title and interest of the Borrower and the Guarantors in the Collateral described therein. Except for filings completed prior to the Closing Date or as otherwise contemplated hereby or by the Collateral Documents, no filing or other action will be necessary to perfect such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-688340</wp:posOffset>
            </wp:positionV>
            <wp:extent cx="13709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6.20 </w:t>
      </w:r>
      <w:r>
        <w:rPr>
          <w:rFonts w:ascii="Times New Roman" w:cs="Times New Roman" w:eastAsia="Times New Roman" w:hAnsi="Times New Roman"/>
          <w:sz w:val="22"/>
          <w:szCs w:val="22"/>
          <w:color w:val="000000"/>
        </w:rPr>
        <w:t>Environmental Compliance.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6.20</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with such exceptions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individually or in the aggregate, would not reasonably be expected to have a Materially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-201930</wp:posOffset>
            </wp:positionV>
            <wp:extent cx="17348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34820" cy="8255"/>
                    </a:xfrm>
                    <a:prstGeom prst="rect">
                      <a:avLst/>
                    </a:prstGeom>
                    <a:noFill/>
                  </pic:spPr>
                </pic:pic>
              </a:graphicData>
            </a:graphic>
          </wp:anchor>
        </w:drawing>
      </w:r>
    </w:p>
    <w:p>
      <w:pPr>
        <w:jc w:val="both"/>
        <w:ind w:left="660" w:firstLine="644"/>
        <w:spacing w:after="0" w:line="245" w:lineRule="auto"/>
        <w:tabs>
          <w:tab w:leader="none" w:pos="1817"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the business of the Loan Parties and their Restricted Subsidiaries is in compliance with all applicable Environmental Laws; and (B) all real property owned by the Loan Parties and their Restricted Subsidiaries is in compliance with all applicable Environmental Laws;</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804"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to the knowledge of the Loan Parties, there are no underground storage tanks on any of the real property owned by the Loan Parties or any of their Restricted Subsidiaries, and (B) to the knowledge of the Loan Parties, no Hazardous Materials have been spilled or released in, on or under any of the real property owned by the Loan Parties or any of their Restricted Subsidiaries in an amount that would trigger a reporting or remediation obligation under current Environmental Laws;</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893"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Loan Parties or their Restricted Subsidiaries have received any written notice, order, directive, claim or demand from any Governmental Authority with respect to any actual or potential liability under Environmental Laws on the part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4" w:name="page155"/>
    <w:bookmarkEnd w:id="154"/>
    <w:p>
      <w:pPr>
        <w:ind w:left="660"/>
        <w:spacing w:after="0" w:line="271" w:lineRule="auto"/>
        <w:rPr>
          <w:sz w:val="20"/>
          <w:szCs w:val="20"/>
          <w:color w:val="auto"/>
        </w:rPr>
      </w:pPr>
      <w:r>
        <w:rPr>
          <w:rFonts w:ascii="Times New Roman" w:cs="Times New Roman" w:eastAsia="Times New Roman" w:hAnsi="Times New Roman"/>
          <w:sz w:val="22"/>
          <w:szCs w:val="22"/>
          <w:color w:val="auto"/>
        </w:rPr>
        <w:t>Loan Party or Restricted Subsidiary in connection with the business of the Loan Parties and their Restricted Subsidiaries that remains outstanding;</w:t>
      </w:r>
    </w:p>
    <w:p>
      <w:pPr>
        <w:spacing w:after="0" w:line="158" w:lineRule="exact"/>
        <w:rPr>
          <w:sz w:val="20"/>
          <w:szCs w:val="20"/>
          <w:color w:val="auto"/>
        </w:rPr>
      </w:pPr>
    </w:p>
    <w:p>
      <w:pPr>
        <w:jc w:val="both"/>
        <w:ind w:left="660" w:firstLine="644"/>
        <w:spacing w:after="0" w:line="256" w:lineRule="auto"/>
        <w:tabs>
          <w:tab w:leader="none" w:pos="1848"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Loan Parties, none of the Loan Parties, their Restricted Subsidiaries nor any of their respective predecessors is currently in any negotiations with any person that would require, and agreements or undertakings with any Person that require, the cleanup of Hazardous Materials on the real property or any third party site by the Loan Parties and their Restricted Subsidiaries;</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93"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Hazardous Materials generated by the Loan Parties or their Restricted Subsidiaries in connection with the business of the Loan Parties or their Restricted Subsidiaries are the subject of a written claim or demand from any third party;</w:t>
      </w:r>
    </w:p>
    <w:p>
      <w:pPr>
        <w:spacing w:after="0" w:line="172" w:lineRule="exact"/>
        <w:rPr>
          <w:rFonts w:ascii="Times New Roman" w:cs="Times New Roman" w:eastAsia="Times New Roman" w:hAnsi="Times New Roman"/>
          <w:sz w:val="22"/>
          <w:szCs w:val="22"/>
          <w:color w:val="010000"/>
        </w:rPr>
      </w:pPr>
    </w:p>
    <w:p>
      <w:pPr>
        <w:ind w:left="660" w:firstLine="644"/>
        <w:spacing w:after="0" w:line="309" w:lineRule="auto"/>
        <w:tabs>
          <w:tab w:leader="none" w:pos="1879" w:val="left"/>
        </w:tabs>
        <w:numPr>
          <w:ilvl w:val="0"/>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actions or proceedings are pending or, to the knowledge of the Company, threatened, to revoke, modify or terminate any permit issued to the Loan Parties or their Restricted Subsidiaries under Environmental Laws; and</w:t>
      </w:r>
    </w:p>
    <w:p>
      <w:pPr>
        <w:spacing w:after="0" w:line="120" w:lineRule="exact"/>
        <w:rPr>
          <w:rFonts w:ascii="Times New Roman" w:cs="Times New Roman" w:eastAsia="Times New Roman" w:hAnsi="Times New Roman"/>
          <w:sz w:val="21"/>
          <w:szCs w:val="21"/>
          <w:color w:val="010000"/>
        </w:rPr>
      </w:pPr>
    </w:p>
    <w:p>
      <w:pPr>
        <w:jc w:val="both"/>
        <w:ind w:left="660" w:firstLine="644"/>
        <w:spacing w:after="0" w:line="252" w:lineRule="auto"/>
        <w:tabs>
          <w:tab w:leader="none" w:pos="1931"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business of the Loan Parties and their Restricted Subsidiaries, neither the Borrower nor the Loan Parties nor their Restricted Subsidiaries are the subject of any outstanding written notice, order or claim with any Governmental Authority or other Person relating to the business of the Loan Parties and their Restricted Subsidiaries regarding Environmental Laws.</w:t>
      </w:r>
    </w:p>
    <w:p>
      <w:pPr>
        <w:spacing w:after="0" w:line="1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-11430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COVENANTS OF THE LOAN PARTIES</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From the Closing Date and so long as the Commitments of the Lenders shall be in effect and until the payment in full of all Obligations hereunder, the expiration or termination of all Letters of Credit and the performance of all other Obligations of the Loan Parties under the Loan Documents, each of the Loan Parties agrees that, unless (x) in the case of a Financial Covenant, the Required Revolving/Term A Lenders and (y) in the case of any other covenant, the Required Lenders, shall otherwise consent in writing:</w:t>
      </w:r>
    </w:p>
    <w:p>
      <w:pPr>
        <w:spacing w:after="0" w:line="179" w:lineRule="exact"/>
        <w:rPr>
          <w:sz w:val="20"/>
          <w:szCs w:val="20"/>
          <w:color w:val="auto"/>
        </w:rPr>
      </w:pPr>
    </w:p>
    <w:p>
      <w:pPr>
        <w:ind w:left="1740" w:hanging="436"/>
        <w:spacing w:after="0"/>
        <w:tabs>
          <w:tab w:leader="none" w:pos="17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Informational Covenants:</w:t>
      </w:r>
    </w:p>
    <w:p>
      <w:pPr>
        <w:spacing w:after="0" w:line="22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22"/>
          <w:szCs w:val="22"/>
          <w:color w:val="010000"/>
        </w:rPr>
        <w:t xml:space="preserve">Section 7.01 </w:t>
      </w:r>
      <w:r>
        <w:rPr>
          <w:rFonts w:ascii="Times New Roman" w:cs="Times New Roman" w:eastAsia="Times New Roman" w:hAnsi="Times New Roman"/>
          <w:sz w:val="22"/>
          <w:szCs w:val="22"/>
          <w:color w:val="000000"/>
        </w:rPr>
        <w:t>Financial Statements and Other Information. The Company will deliver to the Administrative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Agent </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and </w:t>
      </w:r>
      <w:r>
        <w:rPr>
          <w:rFonts w:ascii="Times New Roman" w:cs="Times New Roman" w:eastAsia="Times New Roman" w:hAnsi="Times New Roman"/>
          <w:sz w:val="22"/>
          <w:szCs w:val="22"/>
          <w:u w:val="single" w:color="auto"/>
          <w:color w:val="0000FF"/>
        </w:rPr>
        <w:t>the Administrative Agent shall deliver to</w:t>
      </w:r>
      <w:r>
        <w:rPr>
          <w:rFonts w:ascii="Times New Roman" w:cs="Times New Roman" w:eastAsia="Times New Roman" w:hAnsi="Times New Roman"/>
          <w:sz w:val="22"/>
          <w:szCs w:val="22"/>
          <w:color w:val="000000"/>
        </w:rPr>
        <w:t xml:space="preserve"> each Lender</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-194945</wp:posOffset>
            </wp:positionV>
            <wp:extent cx="27317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31770" cy="8890"/>
                    </a:xfrm>
                    <a:prstGeom prst="rect">
                      <a:avLst/>
                    </a:prstGeom>
                    <a:noFill/>
                  </pic:spPr>
                </pic:pic>
              </a:graphicData>
            </a:graphic>
          </wp:anchor>
        </w:drawing>
      </w:r>
    </w:p>
    <w:p>
      <w:pPr>
        <w:jc w:val="both"/>
        <w:ind w:left="660" w:firstLine="644"/>
        <w:spacing w:after="0" w:line="248" w:lineRule="auto"/>
        <w:tabs>
          <w:tab w:leader="none" w:pos="177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available and in any event within 60 days after the end of each of the first three Quarters of each fiscal year of the Company: (A) consolidated statements of operations of the Company and its consolidated Subsidiaries, taken together, and, for any Restricted Group Reporting Period (Statement of Operations and Balance Sheet), of the Company and the Restricted Subsidiaries, taken together, for such Quarter and for the period from the beginning of such fiscal year to the end of such Quarter, (B) the related consolidated balance sheets of the Company and its consolidated Subsidiaries, taken together, and, for any Restricted Group Reporting Period (Statement of Operations and Balance Sheet), of the Company and the Restricted Subsidiaries,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5" w:name="page156"/>
    <w:bookmarkEnd w:id="155"/>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together, as of the end of such Quarter, and (C) the related consolidated cash flow statements of the Company and its consolidated Subsidiaries, taken together, and, for any Restricted Group Reporting Period (Cash Flow Statement), of the Company and the Restricted Subsidiaries, taken together, as of the end of such Quarter, which financial statements (other than statements of cash flows) shall set forth in comparative form the corresponding figures as of the end of and for the corresponding Quarter in the preceding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any Restricted Group Reporting Period, such comparative figures must be provided only if such corresponding Quarter was also a Restricted Group Reporting Period. The financial statements required to be delivered pursuant to this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shall all be in reasonable detail and accompanied by a certificate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of a senior financial executive of the Company certifying such financial statements as fairly presenting the financial condition and results of operations of the respective entities covered thereby in accordance with GAAP, excluding accompanying footnotes to the consolidated financial statements and subject, however, to year-end and audit adjustments, which certificate shall include a statement that the senior financial executive signing the same has no knowledge, except as specifically stated, that any Default has occurred and is continuing;</w:t>
      </w:r>
    </w:p>
    <w:p>
      <w:pPr>
        <w:spacing w:after="0" w:line="193" w:lineRule="exact"/>
        <w:rPr>
          <w:sz w:val="20"/>
          <w:szCs w:val="20"/>
          <w:color w:val="auto"/>
        </w:rPr>
      </w:pPr>
    </w:p>
    <w:p>
      <w:pPr>
        <w:ind w:left="1840" w:hanging="536"/>
        <w:spacing w:after="0"/>
        <w:tabs>
          <w:tab w:leader="none" w:pos="1840" w:val="left"/>
        </w:tabs>
        <w:numPr>
          <w:ilvl w:val="1"/>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available and in any event within 120 days after the end of each fiscal year of the Company:</w:t>
      </w:r>
    </w:p>
    <w:p>
      <w:pPr>
        <w:spacing w:after="0" w:line="27" w:lineRule="exact"/>
        <w:rPr>
          <w:rFonts w:ascii="Times New Roman" w:cs="Times New Roman" w:eastAsia="Times New Roman" w:hAnsi="Times New Roman"/>
          <w:sz w:val="22"/>
          <w:szCs w:val="22"/>
          <w:color w:val="010000"/>
        </w:rPr>
      </w:pPr>
    </w:p>
    <w:p>
      <w:pPr>
        <w:jc w:val="both"/>
        <w:ind w:left="660" w:hanging="4"/>
        <w:spacing w:after="0" w:line="246" w:lineRule="auto"/>
        <w:tabs>
          <w:tab w:leader="none" w:pos="102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statements of operations of the Company and its consolidated Subsidiaries, taken together, and, for any Restricted Group Reporting Period (Statement of Operations and Balance Sheet), of the Company and the Restricted Subsidiaries, taken together, for such fiscal year, (B) the related consolidated balance sheets of the Company and its consolidated Subsidiaries, taken together, and, for any Restricted Group Reporting Period (Statement of Operations and Balance Sheet), of the Company and the Restricted Subsidiaries, taken together, as of the end of such fiscal year, and (C) the related consolidated cash flow statements of the Company and its consolidated Subsidiaries, taken together, and, for any Restricted Group Reporting Period (Cash Flow Statement), of the Company and the Restricted Subsidiaries, taken together, as of the end of such fiscal year, which financial statements (other than statements of cash flows) shall set forth in comparative form the corresponding figures as of the end of and for the preceding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any Restricted Group Reporting Period, such comparative figures must be provided only if the preceding fiscal year was also a Restricted Group Reporting Period. The financial statements required to be delivered pursuant to this </w:t>
      </w:r>
      <w:r>
        <w:rPr>
          <w:rFonts w:ascii="Times New Roman" w:cs="Times New Roman" w:eastAsia="Times New Roman" w:hAnsi="Times New Roman"/>
          <w:sz w:val="22"/>
          <w:szCs w:val="22"/>
          <w:u w:val="single" w:color="auto"/>
          <w:color w:val="auto"/>
        </w:rPr>
        <w:t>Section 7.01(b)</w:t>
      </w:r>
      <w:r>
        <w:rPr>
          <w:rFonts w:ascii="Times New Roman" w:cs="Times New Roman" w:eastAsia="Times New Roman" w:hAnsi="Times New Roman"/>
          <w:sz w:val="22"/>
          <w:szCs w:val="22"/>
          <w:color w:val="auto"/>
        </w:rPr>
        <w:t xml:space="preserve"> shall all be in reasonable detail and prepared in accordance with GAAP and accompanied by (x) an opinion of a Registered Public Accounting Firm of nationally recognized standing selected by the Company and reasonably acceptable to the Required Lenders as to said consolidated financial statements of the Company and its consolidated Subsidiaries and a certificate of such accountants stating that, in making the examination necessary for said opinion, they obtained no knowledge, except as specifically stated, of any failure by the Company or any Restricted Subsidiaries to perform or observe any of its covenants relating to financial matters in this Credit Agreement, and (y) a certificate in the form of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of a senior financial executive of the Company stating that such financial statements are correct and complete and fairly present the financial condition and results of operations of the respective entities covered thereby as of the end of and for such fiscal year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6" w:name="page157"/>
    <w:bookmarkEnd w:id="156"/>
    <w:p>
      <w:pPr>
        <w:ind w:left="660" w:right="20"/>
        <w:spacing w:after="0" w:line="271" w:lineRule="auto"/>
        <w:rPr>
          <w:sz w:val="20"/>
          <w:szCs w:val="20"/>
          <w:color w:val="auto"/>
        </w:rPr>
      </w:pPr>
      <w:r>
        <w:rPr>
          <w:rFonts w:ascii="Times New Roman" w:cs="Times New Roman" w:eastAsia="Times New Roman" w:hAnsi="Times New Roman"/>
          <w:sz w:val="22"/>
          <w:szCs w:val="22"/>
          <w:color w:val="auto"/>
        </w:rPr>
        <w:t>the executive signing the same has no knowledge, except as specifically stated, that any Default has occurred and is continuing;</w:t>
      </w:r>
    </w:p>
    <w:p>
      <w:pPr>
        <w:spacing w:after="0" w:line="158" w:lineRule="exact"/>
        <w:rPr>
          <w:sz w:val="20"/>
          <w:szCs w:val="20"/>
          <w:color w:val="auto"/>
        </w:rPr>
      </w:pPr>
    </w:p>
    <w:p>
      <w:pPr>
        <w:jc w:val="both"/>
        <w:ind w:left="660" w:firstLine="644"/>
        <w:spacing w:after="0" w:line="250" w:lineRule="auto"/>
        <w:tabs>
          <w:tab w:leader="none" w:pos="1834"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Promptly after their becoming available, to the extent not provided pursuant to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7.01(b)</w:t>
      </w:r>
      <w:r>
        <w:rPr>
          <w:rFonts w:ascii="Times New Roman" w:cs="Times New Roman" w:eastAsia="Times New Roman" w:hAnsi="Times New Roman"/>
          <w:sz w:val="22"/>
          <w:szCs w:val="22"/>
          <w:color w:val="auto"/>
        </w:rPr>
        <w:t xml:space="preserve">, copies of all financial statements and reports which the Company or any Restricted Subsidiary shall have sent to the holders of the Senior Notes, any Permitted Debt and any Indebtedness specified in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to the extent such statements and reports contain information relating to the designation of the Company’s Subsidiaries as “restricted subsidiaries” under the Debt Instruments governing any such Indebtedness, and to the calculation of financial ratios thereunder and copies of all regular and periodic reports, if any, which the Company or any Restricted Subsidiary shall have filed with the SEC or with any national securities exchange;</w:t>
      </w:r>
    </w:p>
    <w:p>
      <w:pPr>
        <w:spacing w:after="0" w:line="180"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817"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60 days after the end of each of the first three Quarters of each fiscal year of the Company and 120 days after the end of each fiscal year of the Company, but in each case, no later than concurrently with the delivery of the financial statements referred to in Sections 7.01(a) and (b) relating to any Restricted Group Reporting Period, a Compliance Certificate, duly completed signed by the chief executive officer, chief financial officer, treasurer or controller of the Company;</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857"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soon as possible and in any event within ten days after any senior executive of the Company or </w:t>
      </w:r>
      <w:r>
        <w:rPr>
          <w:rFonts w:ascii="Times New Roman" w:cs="Times New Roman" w:eastAsia="Times New Roman" w:hAnsi="Times New Roman"/>
          <w:sz w:val="22"/>
          <w:szCs w:val="22"/>
          <w:color w:val="FF0000"/>
          <w:strike w:val="1"/>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Restricted Subsidiary or of any general partner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Restricted Subsidiary shall have obtained knowledge of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occurrence of a Default, a statement describing such Default and the action which is proposed to be taken with respect thereto;</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82"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time to time, with reasonable promptness, such further information regarding the business, affairs and financial condition of the Loan Parties and their Restricted Subsidiaries as the Administrative Agent or any Lender, through the Administrative Agent, may reasonably request;</w:t>
      </w:r>
    </w:p>
    <w:p>
      <w:pPr>
        <w:spacing w:after="0" w:line="186" w:lineRule="exact"/>
        <w:rPr>
          <w:rFonts w:ascii="Times New Roman" w:cs="Times New Roman" w:eastAsia="Times New Roman" w:hAnsi="Times New Roman"/>
          <w:sz w:val="22"/>
          <w:szCs w:val="22"/>
          <w:color w:val="010000"/>
        </w:rPr>
      </w:pPr>
    </w:p>
    <w:p>
      <w:pPr>
        <w:ind w:left="660" w:firstLine="644"/>
        <w:spacing w:after="0" w:line="271" w:lineRule="auto"/>
        <w:tabs>
          <w:tab w:leader="none" w:pos="1797"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Concurrently with the delivery of the financial statements referred to in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list of any new, or redesignation with respect to, Restricted Subsidiaries and Unrestricted Subsidiaries;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892"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Concurrently with the delivery of the financial statements referred to in Section 7.01(a) and (b) for any Restricted Group Reporting Period (Key Metrics), calculations of Annual Adjusted Operating Income, capital expenditures and contractual right cash flow payments of the Company and the Restricted Subsidiaries, taken together, for the applicable Quarter or fiscal year, as the case may be, and for the applicable year to date period;</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08"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time to time, such other information and documentation reasonably requested in writing by the Administrative Agent or any Lender for purposes of its compliance with applicable “know your customer” and anti-money laundering rules and regulations, including the Patriot Act and the Beneficial Ownership Regulation;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7" w:name="page158"/>
    <w:bookmarkEnd w:id="157"/>
    <w:p>
      <w:pPr>
        <w:jc w:val="both"/>
        <w:ind w:left="660" w:firstLine="644"/>
        <w:spacing w:after="0" w:line="252" w:lineRule="auto"/>
        <w:tabs>
          <w:tab w:leader="none" w:pos="1774"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 written notice of any of its executive officers obtaining actual knowledge of (and, in any event, any such notice shall be furnished to the Administrative Agent within 20 days of its executive officers obtaining actual knowledge thereof) any change in the information provided in the Beneficial Ownership Certification delivered to the Administrative Agent that would result in a change to the list of beneficial owners identified in such certification.</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Documents or information required to be delivered pursuant to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(to the extent any such documents or information are included in materials otherwise filed with the SEC) shall be deemed to have been delivered on the date on which (i) the Company files quarterly reports on Form 10-Q and annual reports on Form 10-K, as applicable, with the SEC, or on the date on which the Company provides a link thereto on the Company’s website on the Internet at the website address listed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or (ii)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Company shall deliver paper copies of such documents to the Administrative Agent or any Lender that requests the Company to deliver such paper copies until a written request to cease delivering paper copies is given by the Administrative Agent or such Lender and (B) the Company shall notify the Administrative Agent (by facsimile or electronic mail) of the posting of any such documents and provide to the Administrative Agent by electronic mail electronic versions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soft copies) of such documents. Notwithstanding anything contained herein, in every instance the Company shall be required to provide paper copies of the Compliance Certificates required by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9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Affirmative Covenants:</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7.02 </w:t>
      </w:r>
      <w:r>
        <w:rPr>
          <w:rFonts w:ascii="Times New Roman" w:cs="Times New Roman" w:eastAsia="Times New Roman" w:hAnsi="Times New Roman"/>
          <w:sz w:val="22"/>
          <w:szCs w:val="22"/>
          <w:color w:val="000000"/>
        </w:rPr>
        <w:t>Taxes and Claims. Each of the Loan Parties will, and will cause its Restricted Subsidiaries to, pay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discharge all material Taxes imposed upon it or upon its income or profits, or upon any properties or assets belonging to it, and all material fees or other charges for all lawful claims which, if unpaid, could be reasonably expected to become a Lien (other than Permitted Liens) upon the property of any of the Loan Parties or any of their Restricted Subsidiaries,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none of the Loan Parties or their Restricted Subsidiaries shall be required to pay any such Tax, fee or other claim as to which the such Loan Party or Restricted Subsidiary has a good faith basis to believe is not due and owing and, to the extent then appropriate, the payment thereof is being contested in good faith and by proper proceedings, </w:t>
      </w:r>
      <w:r>
        <w:rPr>
          <w:rFonts w:ascii="Times New Roman" w:cs="Times New Roman" w:eastAsia="Times New Roman" w:hAnsi="Times New Roman"/>
          <w:sz w:val="22"/>
          <w:szCs w:val="22"/>
          <w:u w:val="single" w:color="auto"/>
          <w:color w:val="0000FF"/>
        </w:rPr>
        <w:t>or the non-payment of which would not reasonably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be expected to have a Materially Adverse Effect,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such Loan Party or Restricted Subsidiary maintains adequate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reserves in accordance with GAAP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-1341120</wp:posOffset>
            </wp:positionV>
            <wp:extent cx="1142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Section 7.03 </w:t>
      </w:r>
      <w:r>
        <w:rPr>
          <w:rFonts w:ascii="Times New Roman" w:cs="Times New Roman" w:eastAsia="Times New Roman" w:hAnsi="Times New Roman"/>
          <w:sz w:val="22"/>
          <w:szCs w:val="22"/>
          <w:color w:val="000000"/>
        </w:rPr>
        <w:t>Insurance. Each of the Loan Parties will, and will cause its Restricted Subsidiaries to, maintain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insurance issued by financially sound and reputable insurance companies with respect to its properties and business in such amounts and against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-374650</wp:posOffset>
            </wp:positionV>
            <wp:extent cx="7302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8" w:name="page159"/>
    <w:bookmarkEnd w:id="15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risks as is usually carried by owners of similar businesses and properties in the same general areas in which such Loan Party or Restricted Subsidiary operates. Each of the Loan Parties will, and will cause its Restricted Subsidiaries to, require that each insurance policy on its assets and properties name the Administrative Agent, as administrative agent for the Secured Parties, as additional insured and loss payee to the extent of the Obligations. The Company will furnish (or cause to be furnished) to any Lender, upon the request of such Lender from time to time, full information as to the insurance maintained in accordance with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7.04 </w:t>
      </w:r>
      <w:r>
        <w:rPr>
          <w:rFonts w:ascii="Times New Roman" w:cs="Times New Roman" w:eastAsia="Times New Roman" w:hAnsi="Times New Roman"/>
          <w:sz w:val="22"/>
          <w:szCs w:val="22"/>
          <w:color w:val="000000"/>
        </w:rPr>
        <w:t>Maintenance of Existence; Conduct of Business. Each of the Loan Parties will, and will cause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Restricted Subsidiaries to, preserve, renew and maintain in full force and effect its legal existence and good standing under the Laws of the jurisdiction of its organization, and all of its rights, privileges, licenses and franchises, except (i) where a failure to do so, singly or in the aggregate, </w:t>
      </w:r>
      <w:r>
        <w:rPr>
          <w:rFonts w:ascii="Times New Roman" w:cs="Times New Roman" w:eastAsia="Times New Roman" w:hAnsi="Times New Roman"/>
          <w:sz w:val="22"/>
          <w:szCs w:val="22"/>
          <w:color w:val="FF0000"/>
          <w:strike w:val="1"/>
        </w:rPr>
        <w:t>is</w:t>
      </w:r>
      <w:r>
        <w:rPr>
          <w:rFonts w:ascii="Times New Roman" w:cs="Times New Roman" w:eastAsia="Times New Roman" w:hAnsi="Times New Roman"/>
          <w:sz w:val="22"/>
          <w:szCs w:val="22"/>
          <w:u w:val="single" w:color="auto"/>
          <w:color w:val="0000FF"/>
        </w:rPr>
        <w:t>would</w:t>
      </w:r>
      <w:r>
        <w:rPr>
          <w:rFonts w:ascii="Times New Roman" w:cs="Times New Roman" w:eastAsia="Times New Roman" w:hAnsi="Times New Roman"/>
          <w:sz w:val="22"/>
          <w:szCs w:val="22"/>
          <w:color w:val="000000"/>
        </w:rPr>
        <w:t xml:space="preserve"> not </w:t>
      </w:r>
      <w:r>
        <w:rPr>
          <w:rFonts w:ascii="Times New Roman" w:cs="Times New Roman" w:eastAsia="Times New Roman" w:hAnsi="Times New Roman"/>
          <w:sz w:val="22"/>
          <w:szCs w:val="22"/>
          <w:color w:val="FF0000"/>
          <w:strike w:val="1"/>
        </w:rPr>
        <w:t>likely</w:t>
      </w:r>
      <w:r>
        <w:rPr>
          <w:rFonts w:ascii="Times New Roman" w:cs="Times New Roman" w:eastAsia="Times New Roman" w:hAnsi="Times New Roman"/>
          <w:sz w:val="22"/>
          <w:szCs w:val="22"/>
          <w:u w:val="single" w:color="auto"/>
          <w:color w:val="0000FF"/>
        </w:rPr>
        <w:t>be reasonably be expected</w:t>
      </w:r>
      <w:r>
        <w:rPr>
          <w:rFonts w:ascii="Times New Roman" w:cs="Times New Roman" w:eastAsia="Times New Roman" w:hAnsi="Times New Roman"/>
          <w:sz w:val="22"/>
          <w:szCs w:val="22"/>
          <w:color w:val="000000"/>
        </w:rPr>
        <w:t xml:space="preserve"> to have a Materially Adverse Effect or (ii) pursuant to a transaction expressly permitted pursuant to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-688340</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7.05 </w:t>
      </w:r>
      <w:r>
        <w:rPr>
          <w:rFonts w:ascii="Times New Roman" w:cs="Times New Roman" w:eastAsia="Times New Roman" w:hAnsi="Times New Roman"/>
          <w:sz w:val="22"/>
          <w:szCs w:val="22"/>
          <w:color w:val="000000"/>
        </w:rPr>
        <w:t>Maintenance of and Access to Properties. Each of the Loan Parties will, and will cause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Restricted Subsidiaries to, preserve and protect its properties and assets necessary in its business in good working order and condition, ordinary wear and tear excepted and except where a failure to do so, singly or in the aggregate, is not likely to have a Materially Adverse Effect, and will permit representatives of the Administrative Agent (and solely during the continuance of an Event of Default, the respective Revolving Credit Lenders and Term A Lenders) to visit and inspect such properties, and to examine and make extracts from its books and records, during normal business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-852805</wp:posOffset>
            </wp:positionV>
            <wp:extent cx="26289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28900"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7.06 </w:t>
      </w:r>
      <w:r>
        <w:rPr>
          <w:rFonts w:ascii="Times New Roman" w:cs="Times New Roman" w:eastAsia="Times New Roman" w:hAnsi="Times New Roman"/>
          <w:sz w:val="22"/>
          <w:szCs w:val="22"/>
          <w:color w:val="000000"/>
        </w:rPr>
        <w:t>Compliance with Applicable Laws. Each of the Loan Parties will, and will cause its Restricted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Subsidiaries to, comply with the requirements of all applicable Laws (including but not limited to Environmental Laws) and all orders, writs, injunctions and decrees of any Governmental Authority a breach of which is likely to have, singly or in the aggregate, a Materially Adverse Effect, except where contested in good faith and by proper proceedings if it maintains adequate reserves in accordance with GAAP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-688340</wp:posOffset>
            </wp:positionV>
            <wp:extent cx="2157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7095" cy="8255"/>
                    </a:xfrm>
                    <a:prstGeom prst="rect">
                      <a:avLst/>
                    </a:prstGeom>
                    <a:noFill/>
                  </pic:spPr>
                </pic:pic>
              </a:graphicData>
            </a:graphic>
          </wp:anchor>
        </w:drawing>
      </w: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7.07 </w:t>
      </w:r>
      <w:r>
        <w:rPr>
          <w:rFonts w:ascii="Times New Roman" w:cs="Times New Roman" w:eastAsia="Times New Roman" w:hAnsi="Times New Roman"/>
          <w:sz w:val="22"/>
          <w:szCs w:val="22"/>
          <w:color w:val="000000"/>
        </w:rPr>
        <w:t>Litigation. Each of the Loan Parties will promptly give to the Administrative Agent notice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writing (and the Administrative Agent will notify each Lender) of all actions, suits, proceedings, claims or disputes before any courts, arbitrators or Governmental Authority against it or its Restricted Subsidiaries or, to its knowledge, otherwise affecting it or any of its respective properties or assets, except actions, suits, proceedings, claims or disputes which are not reasonably likely to, singly or in the aggregate, have a Materially Adverse Effect. Following the initial notice of each such action, suit, proceeding, claim or dispute, supplementary notices of all material developments in respect thereof shall be given from time to time in like manner. The parties hereby acknowledge that the prompt notice to the Administrative Agent and each Lender required by this </w:t>
      </w:r>
      <w:r>
        <w:rPr>
          <w:rFonts w:ascii="Times New Roman" w:cs="Times New Roman" w:eastAsia="Times New Roman" w:hAnsi="Times New Roman"/>
          <w:sz w:val="22"/>
          <w:szCs w:val="22"/>
          <w:u w:val="single" w:color="auto"/>
          <w:color w:val="000000"/>
        </w:rPr>
        <w:t>Section 7.07</w:t>
      </w:r>
      <w:r>
        <w:rPr>
          <w:rFonts w:ascii="Times New Roman" w:cs="Times New Roman" w:eastAsia="Times New Roman" w:hAnsi="Times New Roman"/>
          <w:sz w:val="22"/>
          <w:szCs w:val="22"/>
          <w:color w:val="000000"/>
        </w:rPr>
        <w:t xml:space="preserve"> shall be satisfied by public reporting of such actions, suits, proceedings, claims or disputes by the Company with the SEC in a filing made pursuant to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-1338580</wp:posOffset>
            </wp:positionV>
            <wp:extent cx="755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jc w:val="both"/>
        <w:ind w:firstLine="1304"/>
        <w:spacing w:after="0" w:line="252" w:lineRule="auto"/>
        <w:tabs>
          <w:tab w:leader="none" w:pos="1853"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will maintain in effect and enforce policies and procedures reasonably designed to ensure compliance by the Company, its Subsidiaries and their respective directors, officers, employees and agents with Anti-Corruption Laws and applicable Sanctions.</w:t>
      </w:r>
    </w:p>
    <w:p>
      <w:pPr>
        <w:spacing w:after="0" w:line="17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Section 7.08 </w:t>
      </w:r>
      <w:r>
        <w:rPr>
          <w:rFonts w:ascii="Times New Roman" w:cs="Times New Roman" w:eastAsia="Times New Roman" w:hAnsi="Times New Roman"/>
          <w:sz w:val="22"/>
          <w:szCs w:val="22"/>
          <w:color w:val="000000"/>
        </w:rPr>
        <w:t>Subsidiaries. (u) Any New Subsidiary acquired or formed by the Company shall be deemed 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Unrestricted Subsidiary unless the provisions of </w:t>
      </w:r>
      <w:r>
        <w:rPr>
          <w:rFonts w:ascii="Times New Roman" w:cs="Times New Roman" w:eastAsia="Times New Roman" w:hAnsi="Times New Roman"/>
          <w:sz w:val="22"/>
          <w:szCs w:val="22"/>
          <w:u w:val="single" w:color="auto"/>
          <w:color w:val="000000"/>
        </w:rPr>
        <w:t>Section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-215900</wp:posOffset>
            </wp:positionV>
            <wp:extent cx="8420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would not permit the Investment in such Unrestricted Subsidiary at the time of its acquisition or formation.</w:t>
      </w:r>
    </w:p>
    <w:p>
      <w:pPr>
        <w:spacing w:after="0" w:line="28" w:lineRule="exact"/>
        <w:rPr>
          <w:sz w:val="20"/>
          <w:szCs w:val="20"/>
          <w:color w:val="auto"/>
        </w:rPr>
      </w:pPr>
    </w:p>
    <w:p>
      <w:pPr>
        <w:jc w:val="both"/>
        <w:ind w:firstLine="1304"/>
        <w:spacing w:after="0" w:line="246" w:lineRule="auto"/>
        <w:tabs>
          <w:tab w:leader="none" w:pos="1765"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may designate, so long as (i) no Default exists or would result therefrom and (ii) the Company is in pro forma compliance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any New Subsidiary, including a New Subsidiary deemed to be an Unrestricted Subsidiary pursuant to clause (a) above, as a Restricted Subsidiary by giving a notice captioned “Designation of Restricted Subsidiary” to the Administrative Agent promptly upon the acquisition or formation of such New Subsidiary, such notice to specify whether such New Subsidiary has been designated as a “restricted subsidiary” for purposes of any Debt Instruments governing any Permitted Debt or any Indebtedness specified in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Within 45 days of such designation, the Company will cause such New Restricted Subsidiary to undertake all of the obligations of a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under this Credit Agreement. In the event that the New Restricted Subsidiary is a wholly owned Domestic Subsidiary, the Company will, subject to the time periods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cause such New Restricted Subsidiary that is a wholly owned Domestic Subsidiary to undertake all of the obligations of (x)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under this Credit Agreement, (y)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under the Security Agreement and Intellectual Property Security Agreement, and (z) if applicable, a “</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under the Pledge Agreement. Each such New Restricted Subsidiary shall thereafter be a “</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and, in the event that the New Restricted Subsidiary is a wholly owned Domestic Subsidiary,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for all purposes of this Credit Agreement, a “Grantor” for all purposes of the Security Agreement, and (if applicable) a “</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for all purposes of the Pledge Agreement. Notwithstanding the foregoing, the Company may cause, at its election, in order to meet the conditions applicable to an Exchange or a Permitted Acquisition hereunder, a New Restricted Subsidiary that is not a wholly owned Domestic Subsidiary to undertake all of the obligations of (I)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under this Credit Agreement, (II)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under the Security Agreement, and (III) if applicable, a “Pledgor” under the Pledge Agreement. Each such New Restricted Subsidiary so designated shall thereafter be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for all purposes of this Credit Agreement,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for all purposes of the Security Agreement and (if applicable) a “</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for all purposes of the Pledge Agreement.</w:t>
      </w:r>
    </w:p>
    <w:p>
      <w:pPr>
        <w:spacing w:after="0" w:line="187"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29"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The Company may redesignate, so long as (i) no Default exists or would result therefrom and (ii) the Company is in pro forma compliance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any Restricted Subsidiary as an Unrestricted Subsidiary or any Unrestricted Subsidiary as a Restricted Subsidiary by giving a notice to the Administrative Agent captioned “Redesignation of Restricted Subsidiary” or “Redesignation of Unrestricted Subsidiary”, as the case may be. In the case of any redesignation of any Unrestricted Subsidiary as a Restricted Subsidiary, promptly upon such redesignation, the Company will cause (by documentation reasonably satisfactory to the Required Lenders) such New Restricted Subsidiary to undertake all of the obligations of (A) a “</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under this Credit Agreement, (B) in the event that the New Restricted Subsidiary is a wholly owned Domestic Subsidiary, (x)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under this Credit Agreement, (y)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under the Security Agreement and Intellectual Property Security Agreement, and (z) if applicable, a “</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under the Pledge Agreement. Each such New Restricted Subsidiary shall thereafter be a “</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and, in the event that the New Restricted Subsidiary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0" w:name="page161"/>
    <w:bookmarkEnd w:id="160"/>
    <w:p>
      <w:pPr>
        <w:spacing w:after="0" w:line="271" w:lineRule="auto"/>
        <w:rPr>
          <w:sz w:val="20"/>
          <w:szCs w:val="20"/>
          <w:color w:val="auto"/>
        </w:rPr>
      </w:pPr>
      <w:r>
        <w:rPr>
          <w:rFonts w:ascii="Times New Roman" w:cs="Times New Roman" w:eastAsia="Times New Roman" w:hAnsi="Times New Roman"/>
          <w:sz w:val="22"/>
          <w:szCs w:val="22"/>
          <w:color w:val="auto"/>
        </w:rPr>
        <w:t>Domestic Subsidiary,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for all purposes of this Credit Agreement,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for all purposes of the Security Agreement, and (if applicable) a “</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for all purposes of the Pledge Agreement.</w:t>
      </w:r>
    </w:p>
    <w:p>
      <w:pPr>
        <w:spacing w:after="0" w:line="158" w:lineRule="exact"/>
        <w:rPr>
          <w:sz w:val="20"/>
          <w:szCs w:val="20"/>
          <w:color w:val="auto"/>
        </w:rPr>
      </w:pPr>
    </w:p>
    <w:p>
      <w:pPr>
        <w:jc w:val="both"/>
        <w:ind w:firstLine="1304"/>
        <w:spacing w:after="0" w:line="256" w:lineRule="auto"/>
        <w:tabs>
          <w:tab w:leader="none" w:pos="1786"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in no event shall (i) any Significant Company be redesignated as an Unrestricted Subsidiary, (ii) any New Subsidiary be designated, or any Unrestricted Subsidiary be redesignated, as a Restricted Subsidiary if not owned directly by the Borrower or another Restricted Subsidiary or (iii) any Receivables Subsidiary or Special Purpose Producer be required to become a Guarantor or Grantor.</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7.09 </w:t>
      </w:r>
      <w:r>
        <w:rPr>
          <w:rFonts w:ascii="Times New Roman" w:cs="Times New Roman" w:eastAsia="Times New Roman" w:hAnsi="Times New Roman"/>
          <w:sz w:val="22"/>
          <w:szCs w:val="22"/>
          <w:color w:val="000000"/>
        </w:rPr>
        <w:t>Books and Records. Each of the Loan Parties will, and will cause its Restricted Subsidiaries to, (v)</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maintain proper books of record and account, in which entries that are full, true and correct in all material respects and are in conformity with GAAP consistently applied shall be made of all material financial transactions and material matters involving the assets and business of the Loan Parties or the Restricted Subsidiaries, as the case may be; and (b) except to the extent failure to do so would not reasonably be expected to have a Materially Adverse Effect, maintain such books of record and account in conformity with all applicable requirements of any Governmental Authority having regulatory jurisdiction over the Loan Parties or the Restricted Subsidiaries,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-1015365</wp:posOffset>
            </wp:positionV>
            <wp:extent cx="1221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010000"/>
        </w:rPr>
        <w:t xml:space="preserve">Section 7.10 </w:t>
      </w:r>
      <w:r>
        <w:rPr>
          <w:rFonts w:ascii="Times New Roman" w:cs="Times New Roman" w:eastAsia="Times New Roman" w:hAnsi="Times New Roman"/>
          <w:sz w:val="22"/>
          <w:szCs w:val="22"/>
          <w:color w:val="000000"/>
        </w:rPr>
        <w:t>Use of Proceeds. The Borrower will use the proceeds of (a) the Credit Extensions to (i) refinance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certain Indebtedness of the Company and its subsidiaries, (ii) make permitted investments, acquisitions and distributions,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-193675</wp:posOffset>
            </wp:positionV>
            <wp:extent cx="10712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jc w:val="both"/>
        <w:ind w:firstLine="8"/>
        <w:spacing w:after="0" w:line="245" w:lineRule="auto"/>
        <w:tabs>
          <w:tab w:leader="none" w:pos="3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working capital and general corporate purposes of the Borrower and its Subsidiaries not in contravention of any Law or of any Loan Document, including the payment of fees and expenses related to the transactions contemplated hereby and (b) Credit Extensions of Revolving Credit Loans or Letters of Credit after the Closing Date to (i) make permitted investments, acquisitions and distributions and (ii) fund working capital and general corporate purposes of the Borrower and its Subsidiaries not in contravention of any Law or of any Loan Document.</w:t>
      </w:r>
    </w:p>
    <w:p>
      <w:pPr>
        <w:spacing w:after="0" w:line="4"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10000"/>
        </w:rPr>
        <w:t xml:space="preserve">Section 7.11  </w:t>
      </w:r>
      <w:r>
        <w:rPr>
          <w:rFonts w:ascii="Times New Roman" w:cs="Times New Roman" w:eastAsia="Times New Roman" w:hAnsi="Times New Roman"/>
          <w:sz w:val="22"/>
          <w:szCs w:val="22"/>
          <w:color w:val="000000"/>
        </w:rPr>
        <w:t>Covenant to Guarantee Obligations and Give Security.</w:t>
      </w:r>
    </w:p>
    <w:p>
      <w:pPr>
        <w:spacing w:after="0" w:line="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Upon (x) the designation of any Subsidiary as a Restricted Subsidiary (other than a Receivables Subsidiary, a Special Purpose Producer, a Foreign Subsidiary or a Subsidiary that is held directly or indirectly by a Foreign Subsidiary), (y) the formation or acquisition of any New Subsidiary (other than an Unrestricted Subsidiary, a Receivables Subsidiary, a Special Purpose Producer, a Foreign Subsidiary or a Subsidiary that is held directly or indirectly by a Foreign Subsidiary) by any Loan Party that is required to become a Guarantor, Grantor and, if applicable, Pledgor under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or (z) the acquisition of any property by any Loan Party if such property, in the reasonable judgment of the Administrative Agent, shall not already be subject to a perfected first priority security interest in favor of the Collateral Agent for the benefit of the Secured Parties, then the Company shall, at the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-1355090</wp:posOffset>
            </wp:positionV>
            <wp:extent cx="31007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66" w:lineRule="exact"/>
        <w:rPr>
          <w:sz w:val="20"/>
          <w:szCs w:val="20"/>
          <w:color w:val="auto"/>
        </w:rPr>
      </w:pPr>
    </w:p>
    <w:p>
      <w:pPr>
        <w:jc w:val="both"/>
        <w:ind w:left="660" w:firstLine="644"/>
        <w:spacing w:after="0" w:line="257" w:lineRule="auto"/>
        <w:tabs>
          <w:tab w:leader="none" w:pos="1809"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30 days (or such longer period as the Administrative Agent may agree in its reasonable discretion) thereafter cause such Subsidiary (if it has not already done so) to duly execute and deliver to the Administrative Agent a Guaranty Supplement;</w:t>
      </w:r>
    </w:p>
    <w:p>
      <w:pPr>
        <w:spacing w:after="0" w:line="186"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855"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30 days (or such longer period as the Administrative Agent may agree in its reasonable discretion) thereafter, furnish to the Administrative Agent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1" w:name="page162"/>
    <w:bookmarkEnd w:id="161"/>
    <w:p>
      <w:pPr>
        <w:ind w:left="660" w:right="20"/>
        <w:spacing w:after="0" w:line="271" w:lineRule="auto"/>
        <w:rPr>
          <w:sz w:val="20"/>
          <w:szCs w:val="20"/>
          <w:color w:val="auto"/>
        </w:rPr>
      </w:pPr>
      <w:r>
        <w:rPr>
          <w:rFonts w:ascii="Times New Roman" w:cs="Times New Roman" w:eastAsia="Times New Roman" w:hAnsi="Times New Roman"/>
          <w:sz w:val="22"/>
          <w:szCs w:val="22"/>
          <w:color w:val="auto"/>
        </w:rPr>
        <w:t>description of the real and personal property of such Subsidiary or such newly-acquired property, in detail reasonably satisfactory to the Administrative Agent;</w:t>
      </w:r>
    </w:p>
    <w:p>
      <w:pPr>
        <w:spacing w:after="0" w:line="158" w:lineRule="exact"/>
        <w:rPr>
          <w:sz w:val="20"/>
          <w:szCs w:val="20"/>
          <w:color w:val="auto"/>
        </w:rPr>
      </w:pPr>
    </w:p>
    <w:p>
      <w:pPr>
        <w:jc w:val="both"/>
        <w:ind w:left="660" w:firstLine="644"/>
        <w:spacing w:after="0" w:line="251" w:lineRule="auto"/>
        <w:tabs>
          <w:tab w:leader="none" w:pos="1923"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within 45 days thereafter (or such longer period as the Administrative Agent may agree in its reasonable discretion) cause such Subsidiary or Loan Party, as the case may be (if it has not already done so), to duly execute and deliver to the Administrative Agent supplemental Collateral Documents, as specified by and in form and substance reasonably satisfactory to the Administrative Agent (or in substantially the form attached to the Security Agreement, if applicable) (including delivery of all certificates representing Pledged Equity Interests in and of such Subsidiary, and other instruments of the type specified in </w:t>
      </w:r>
      <w:r>
        <w:rPr>
          <w:rFonts w:ascii="Times New Roman" w:cs="Times New Roman" w:eastAsia="Times New Roman" w:hAnsi="Times New Roman"/>
          <w:sz w:val="22"/>
          <w:szCs w:val="22"/>
          <w:u w:val="single" w:color="auto"/>
          <w:color w:val="auto"/>
        </w:rPr>
        <w:t>Section 5.01(a)(iii)</w:t>
      </w:r>
      <w:r>
        <w:rPr>
          <w:rFonts w:ascii="Times New Roman" w:cs="Times New Roman" w:eastAsia="Times New Roman" w:hAnsi="Times New Roman"/>
          <w:sz w:val="22"/>
          <w:szCs w:val="22"/>
          <w:color w:val="auto"/>
        </w:rPr>
        <w:t>); and</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59" w:lineRule="auto"/>
        <w:tabs>
          <w:tab w:leader="none" w:pos="1895" w:val="left"/>
        </w:tabs>
        <w:numPr>
          <w:ilvl w:val="1"/>
          <w:numId w:val="1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within 60 days (or such longer period as the Administrative Agent may agree in its reasonable discretion) thereafter, cause such Subsidiary or Loan Party (if it has not already done so) to take any actions required under the Security Agreement (including the filing of UCC financing statements, the giving of notices and the endorsement of notices on title documents) as may be reasonably requested by the Administrative Agent to vest in the Administrative Agent (or in any representative of the Administrative Agent designated by it) valid and subsisting Liens on the properties subject to the supplemental Collateral Documents delivered pursuant to this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such pledge shall be limited to (i) in the case of Equity Interests of a Foreign Subsidiary, no more than the Defined Percentage of any class of Equity Interest of a Foreign Subsidiary directly owned by a Domestic Subsidiary, and</w:t>
      </w:r>
    </w:p>
    <w:p>
      <w:pPr>
        <w:spacing w:after="0" w:line="6" w:lineRule="exact"/>
        <w:rPr>
          <w:rFonts w:ascii="Times New Roman" w:cs="Times New Roman" w:eastAsia="Times New Roman" w:hAnsi="Times New Roman"/>
          <w:sz w:val="21"/>
          <w:szCs w:val="21"/>
          <w:color w:val="010000"/>
        </w:rPr>
      </w:pPr>
    </w:p>
    <w:p>
      <w:pPr>
        <w:ind w:left="660" w:right="20" w:hanging="4"/>
        <w:spacing w:after="0" w:line="259" w:lineRule="auto"/>
        <w:tabs>
          <w:tab w:leader="none" w:pos="9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Indebtedness owed by a Foreign Subsidiary to a Loan Party, no more than the Defined Percentage of each such Indebtedness of a Foreign Subsidiary directly owned by a Domestic Subsidiary.</w:t>
      </w:r>
    </w:p>
    <w:p>
      <w:pPr>
        <w:spacing w:after="0" w:line="171" w:lineRule="exact"/>
        <w:rPr>
          <w:sz w:val="20"/>
          <w:szCs w:val="20"/>
          <w:color w:val="auto"/>
        </w:rPr>
      </w:pPr>
    </w:p>
    <w:p>
      <w:pPr>
        <w:ind w:left="1780" w:hanging="476"/>
        <w:spacing w:after="0"/>
        <w:tabs>
          <w:tab w:leader="none" w:pos="178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any Loan Document,</w:t>
      </w:r>
    </w:p>
    <w:p>
      <w:pPr>
        <w:spacing w:after="0" w:line="220" w:lineRule="exact"/>
        <w:rPr>
          <w:sz w:val="20"/>
          <w:szCs w:val="20"/>
          <w:color w:val="auto"/>
        </w:rPr>
      </w:pPr>
    </w:p>
    <w:p>
      <w:pPr>
        <w:jc w:val="both"/>
        <w:ind w:left="660" w:firstLine="644"/>
        <w:spacing w:after="0" w:line="253" w:lineRule="auto"/>
        <w:tabs>
          <w:tab w:leader="none" w:pos="1789"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Loan Party shall be required to pledge any Equity Interest under any Loan Document other than (x) the Equity Interest of a Domestic Subsidiary, not including any Excluded Domestic Subsidiary, and (y) no more than the Defined Percentage of any class of Equity Interest of (i) any Excluded Domestic Subsidiary, (ii) any Foreign Subsidiary directly held by a Domestic Subsidiary, including an Excluded Domestic Subsidiary, and (iii) any Foreign Subsidiary directly held by a Sundance International Guarantor.</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49" w:lineRule="auto"/>
        <w:tabs>
          <w:tab w:leader="none" w:pos="1801"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Secured Parties shall have recourse against, and shall be entitled to recover from any Excluded Domestic Subsidiary and each of the Sundance International Guarantors pursuant to its Guaranty only to the extent of (x) the Defined Percentage of each class of Equity Interests in each of its directly-owned Foreign Subsidiaries and the Defined Percentage of each Indebtedness owed by its directly-owned Foreign Subsidiaries to it, or the proceeds from the disposal of the Defined Percentage of such class of Equity Interests or of the Defined Percentage of such Indebtedness, and (y) its assets other than Equity Interests and Indebtedness of Foreign Subsidiaries (or proceeds from the disposal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Secured Parties shall have recourse to 100% of the assets of each Sundance International Guarantor excluding any Equity Interest 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2"/>
          <w:szCs w:val="22"/>
          <w:color w:val="auto"/>
        </w:rPr>
        <w:t>held by a Sundance International Guarantor that exceeds the Defined Percentage thereof; and</w:t>
      </w:r>
    </w:p>
    <w:p>
      <w:pPr>
        <w:spacing w:after="0" w:line="220" w:lineRule="exact"/>
        <w:rPr>
          <w:sz w:val="20"/>
          <w:szCs w:val="20"/>
          <w:color w:val="auto"/>
        </w:rPr>
      </w:pPr>
    </w:p>
    <w:p>
      <w:pPr>
        <w:ind w:left="2040" w:hanging="736"/>
        <w:spacing w:after="0"/>
        <w:tabs>
          <w:tab w:leader="none" w:pos="2040"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Foreign Subsidiary (other than the Sundance International Guarantors) shall be required to be a</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Guarantor.</w:t>
      </w:r>
    </w:p>
    <w:p>
      <w:pPr>
        <w:spacing w:after="0" w:line="19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010000"/>
        </w:rPr>
        <w:t xml:space="preserve">Section 7.12 </w:t>
      </w:r>
      <w:r>
        <w:rPr>
          <w:rFonts w:ascii="Times New Roman" w:cs="Times New Roman" w:eastAsia="Times New Roman" w:hAnsi="Times New Roman"/>
          <w:sz w:val="21"/>
          <w:szCs w:val="21"/>
          <w:color w:val="000000"/>
        </w:rPr>
        <w:t>Further Assurances. Promptly upon request by the Administrative Agent, or any Lender through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Administrative Agent, each Loan Party shall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-690245</wp:posOffset>
            </wp:positionV>
            <wp:extent cx="1200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both"/>
        <w:ind w:firstLine="8"/>
        <w:spacing w:after="0" w:line="256" w:lineRule="auto"/>
        <w:tabs>
          <w:tab w:leader="none" w:pos="26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5" w:lineRule="exact"/>
        <w:rPr>
          <w:rFonts w:ascii="Times New Roman" w:cs="Times New Roman" w:eastAsia="Times New Roman" w:hAnsi="Times New Roman"/>
          <w:sz w:val="21"/>
          <w:szCs w:val="21"/>
          <w:color w:val="auto"/>
        </w:rPr>
      </w:pPr>
    </w:p>
    <w:p>
      <w:pPr>
        <w:ind w:firstLine="1296"/>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010000"/>
        </w:rPr>
        <w:t xml:space="preserve">Section 7.13 </w:t>
      </w:r>
      <w:r>
        <w:rPr>
          <w:rFonts w:ascii="Times New Roman" w:cs="Times New Roman" w:eastAsia="Times New Roman" w:hAnsi="Times New Roman"/>
          <w:sz w:val="22"/>
          <w:szCs w:val="22"/>
          <w:color w:val="000000"/>
        </w:rPr>
        <w:t>Designation as Senior Debt. The Loan Parties shall designate all Obligations as the sole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Designated Senior Indebtedness</w:t>
      </w:r>
      <w:r>
        <w:rPr>
          <w:rFonts w:ascii="Times New Roman" w:cs="Times New Roman" w:eastAsia="Times New Roman" w:hAnsi="Times New Roman"/>
          <w:sz w:val="22"/>
          <w:szCs w:val="22"/>
          <w:color w:val="000000"/>
        </w:rPr>
        <w:t>” (or an equivalent term) under, and defined in, any Subordinated Debt Documents.</w:t>
      </w:r>
    </w:p>
    <w:p>
      <w:pPr>
        <w:spacing w:after="0" w:line="1" w:lineRule="exact"/>
        <w:rPr>
          <w:rFonts w:ascii="Times New Roman" w:cs="Times New Roman" w:eastAsia="Times New Roman" w:hAnsi="Times New Roman"/>
          <w:sz w:val="21"/>
          <w:szCs w:val="21"/>
          <w:color w:val="auto"/>
        </w:rPr>
      </w:pPr>
    </w:p>
    <w:p>
      <w:pPr>
        <w:jc w:val="both"/>
        <w:ind w:firstLine="1296"/>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010000"/>
        </w:rPr>
        <w:t xml:space="preserve">Section 7.14 </w:t>
      </w:r>
      <w:r>
        <w:rPr>
          <w:rFonts w:ascii="Times New Roman" w:cs="Times New Roman" w:eastAsia="Times New Roman" w:hAnsi="Times New Roman"/>
          <w:sz w:val="22"/>
          <w:szCs w:val="22"/>
          <w:color w:val="000000"/>
        </w:rPr>
        <w:t>Maintenance of Ratings. The Company shall at all times use commercially reasonable efforts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maintain public ratings (but not maintain any specific rating) issued by at least two of Moody’s, S&amp;P and Fitch with respect to itself as an entity and with respect to the Loans made hereunder.</w:t>
      </w:r>
    </w:p>
    <w:p>
      <w:pPr>
        <w:spacing w:after="0" w:line="1"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Negative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-852170</wp:posOffset>
            </wp:positionV>
            <wp:extent cx="18986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9865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-518160</wp:posOffset>
            </wp:positionV>
            <wp:extent cx="1524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7.15 </w:t>
      </w:r>
      <w:r>
        <w:rPr>
          <w:rFonts w:ascii="Times New Roman" w:cs="Times New Roman" w:eastAsia="Times New Roman" w:hAnsi="Times New Roman"/>
          <w:sz w:val="22"/>
          <w:szCs w:val="22"/>
          <w:color w:val="000000"/>
        </w:rPr>
        <w:t>Indebtedness. None of the Loan Parties will, or will permit any of its Restricted Subsidiaries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create, incur or suffer to exist any Indebtedness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-193675</wp:posOffset>
            </wp:positionV>
            <wp:extent cx="895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95985" cy="8890"/>
                    </a:xfrm>
                    <a:prstGeom prst="rect">
                      <a:avLst/>
                    </a:prstGeom>
                    <a:noFill/>
                  </pic:spPr>
                </pic:pic>
              </a:graphicData>
            </a:graphic>
          </wp:anchor>
        </w:drawing>
      </w:r>
    </w:p>
    <w:p>
      <w:pPr>
        <w:ind w:left="1720" w:hanging="416"/>
        <w:spacing w:after="0"/>
        <w:tabs>
          <w:tab w:leader="none" w:pos="1720"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hereunder;</w:t>
      </w:r>
    </w:p>
    <w:p>
      <w:pPr>
        <w:spacing w:after="0" w:line="195"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917"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 respect of the Senior Notes, Incremental Equivalent Debt, any Permitted Debt and any Permitted Refinancing Indebtedness;</w:t>
      </w:r>
    </w:p>
    <w:p>
      <w:pPr>
        <w:spacing w:after="0" w:line="171"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961"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obligations under or in respect of interest rate Swap Contracts up to an aggregate notional principal amount not to exceed at any time an amount equal to the Commitments of all the Lenders in the aggregate at such time and (ii) obligations owing under other Swap Contracts entered into in order to manage existing or anticipated exchange rate or commodity price risks and not for speculative purposes;</w:t>
      </w:r>
    </w:p>
    <w:p>
      <w:pPr>
        <w:spacing w:after="0" w:line="179" w:lineRule="exact"/>
        <w:rPr>
          <w:rFonts w:ascii="Times New Roman" w:cs="Times New Roman" w:eastAsia="Times New Roman" w:hAnsi="Times New Roman"/>
          <w:sz w:val="22"/>
          <w:szCs w:val="22"/>
          <w:color w:val="010000"/>
        </w:rPr>
      </w:pPr>
    </w:p>
    <w:p>
      <w:pPr>
        <w:ind w:left="1840" w:hanging="536"/>
        <w:spacing w:after="0"/>
        <w:tabs>
          <w:tab w:leader="none" w:pos="1840"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Guarantees and letters of credit not prohibited by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3" w:name="page164"/>
    <w:bookmarkEnd w:id="163"/>
    <w:p>
      <w:pPr>
        <w:jc w:val="both"/>
        <w:ind w:left="660" w:firstLine="644"/>
        <w:spacing w:after="0" w:line="262" w:lineRule="auto"/>
        <w:tabs>
          <w:tab w:leader="none" w:pos="1832" w:val="left"/>
        </w:tabs>
        <w:numPr>
          <w:ilvl w:val="1"/>
          <w:numId w:val="1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Indebtedness (A) of any Loan Party owed to any other Loan Party, (B) of a non-Loan Party wholly owned Restricted Subsidiary owed to another non-Loan Party wholly owned Restricted Subsidiary, (C) of a wholly owned non-Loan Party Foreign Restricted Subsidiary owed to another wholly owned non-Loan Party Foreign Restricted Subsidiary,</w:t>
      </w:r>
    </w:p>
    <w:p>
      <w:pPr>
        <w:spacing w:after="0" w:line="2" w:lineRule="exact"/>
        <w:rPr>
          <w:rFonts w:ascii="Times New Roman" w:cs="Times New Roman" w:eastAsia="Times New Roman" w:hAnsi="Times New Roman"/>
          <w:sz w:val="21"/>
          <w:szCs w:val="21"/>
          <w:color w:val="010000"/>
        </w:rPr>
      </w:pPr>
    </w:p>
    <w:p>
      <w:pPr>
        <w:jc w:val="both"/>
        <w:ind w:left="660" w:hanging="4"/>
        <w:spacing w:after="0" w:line="258" w:lineRule="auto"/>
        <w:tabs>
          <w:tab w:leader="none" w:pos="101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a Foreign Restricted Subsidiary or a foreign joint venture that is a Restricted Subsidiary owed to a Loan Party or a Foreign Restricted Subsidiary (together with all other Investments in and Guarantees in respect of such entities by Loan Parties or Foreign Restricted Subsidiaries permitted by this clause </w:t>
      </w:r>
      <w:r>
        <w:rPr>
          <w:rFonts w:ascii="Times New Roman" w:cs="Times New Roman" w:eastAsia="Times New Roman" w:hAnsi="Times New Roman"/>
          <w:sz w:val="21"/>
          <w:szCs w:val="21"/>
          <w:u w:val="single" w:color="auto"/>
          <w:color w:val="auto"/>
        </w:rPr>
        <w:t>(v)(D)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7.16(iii)(C)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7.18(xii)(B))</w:t>
      </w:r>
      <w:r>
        <w:rPr>
          <w:rFonts w:ascii="Times New Roman" w:cs="Times New Roman" w:eastAsia="Times New Roman" w:hAnsi="Times New Roman"/>
          <w:sz w:val="21"/>
          <w:szCs w:val="21"/>
          <w:color w:val="auto"/>
        </w:rPr>
        <w:t xml:space="preserve">, in an aggregate principal amount not to exceed at any time outstanding $200,000,000 and (E) consisting of other intercompany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at the time of incurrence of such Indebtedness pursuant to this clause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the Cash Flow Ratio shall be less than or equal to 3.50 to 1.00, as calculated on a pro forma basis after giving effect to such incurrence and computed as of the last day of the most recently ended Quarter for which financial statements have been delivered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(with such Indebtedness being included in Net Debt solely for purposes of such pro forma calculation), (2) any Indebtedness owing to a Loan Party by a non-Loan Party shall be pledged to the Collateral Agent in accordance with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and the applicable provisions of the Security Agreement, to the extent required thereby, and (3) any such Indebtedness owing by a Loan Party to a non-Loan Party shall be expressly subordinated in right of payment to the Obligations pursuant to terms of subordination reasonably acceptable to the Administrative Agent;</w:t>
      </w:r>
    </w:p>
    <w:p>
      <w:pPr>
        <w:spacing w:after="0" w:line="181" w:lineRule="exact"/>
        <w:rPr>
          <w:rFonts w:ascii="Times New Roman" w:cs="Times New Roman" w:eastAsia="Times New Roman" w:hAnsi="Times New Roman"/>
          <w:sz w:val="21"/>
          <w:szCs w:val="21"/>
          <w:color w:val="auto"/>
        </w:rPr>
      </w:pPr>
    </w:p>
    <w:p>
      <w:pPr>
        <w:ind w:left="660" w:right="20" w:firstLine="644"/>
        <w:spacing w:after="0" w:line="284" w:lineRule="auto"/>
        <w:tabs>
          <w:tab w:leader="none" w:pos="1921"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Indebtedness issued and outstanding on the Amendment No.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to the extent set forth on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and any Permitted Refinancing Indebtedness related thereto;</w:t>
      </w:r>
    </w:p>
    <w:p>
      <w:pPr>
        <w:spacing w:after="0" w:line="143" w:lineRule="exact"/>
        <w:rPr>
          <w:rFonts w:ascii="Times New Roman" w:cs="Times New Roman" w:eastAsia="Times New Roman" w:hAnsi="Times New Roman"/>
          <w:sz w:val="22"/>
          <w:szCs w:val="22"/>
          <w:color w:val="010000"/>
        </w:rPr>
      </w:pPr>
    </w:p>
    <w:p>
      <w:pPr>
        <w:jc w:val="both"/>
        <w:ind w:left="660" w:firstLine="644"/>
        <w:spacing w:after="0" w:line="247" w:lineRule="auto"/>
        <w:tabs>
          <w:tab w:leader="none" w:pos="2004"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Indebtedness incurred by the Borrower or any Guarantor as consideration for, and to finance costs and expenses of, Permitted Acquisitions, so long as (i) such indebtedness is unsecured; (ii) the Company would be in compliance, on a pro forma basis after giving effect to the consummation of such acquisition and the incurrence or assumption of such indebtedness in connection therewith, with the Financial Covenants recomputed as of the last day of the most recently ended Quarter for which financial statements were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such acquisition was consummated and such indebtedness was incurred on the first day of the 12-month period then ended (such pro forma basis to include, in the Company’s discretion, a reasonable estimate of savings from such acquisition (A) that have been realized, (B) for which the steps necessary for realization have been taken, or (C) for which the steps necessary for realization are reasonably expected to be taken within 12 months of the date of such acquisition, in each case, certified by the Company), (iii) before and after giving effect thereto, no default or Event of Default shall have occurred and be continuing, and (iv) such Indebtedness has a maturity date no earlier than the date that is six months after the latest Maturity Date of the then existing Facilities and has no mandatory redemptions prior to the Maturity Date with respect to the Extended Term A Facility (other than customary asset sale and change of control offers that are subject to prior payment and termination of the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4" w:name="page165"/>
    <w:bookmarkEnd w:id="164"/>
    <w:p>
      <w:pPr>
        <w:ind w:left="660" w:firstLine="644"/>
        <w:spacing w:after="0" w:line="271" w:lineRule="auto"/>
        <w:tabs>
          <w:tab w:leader="none" w:pos="2076"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Finance Lease Obligations and purchase money obligations for fixed or capital assets in an aggregate amount outstanding at any one time not to exceed $100,000,000;</w:t>
      </w:r>
    </w:p>
    <w:p>
      <w:pPr>
        <w:spacing w:after="0" w:line="157"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863"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 connection with the issuance of one or more standby letters of credit or performance bonds securing obligations of the type set forth in clauses (i) and (ii) of the definition of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893"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consisting of (i) the financing of insurance premiums or (ii) take-or-pay obligations of the Borrower or any of the Restricted Subsidiaries contained in supply arrangements, in each case, in the ordinary course of business;</w:t>
      </w:r>
    </w:p>
    <w:p>
      <w:pPr>
        <w:spacing w:after="0" w:line="167" w:lineRule="exact"/>
        <w:rPr>
          <w:rFonts w:ascii="Times New Roman" w:cs="Times New Roman" w:eastAsia="Times New Roman" w:hAnsi="Times New Roman"/>
          <w:sz w:val="22"/>
          <w:szCs w:val="22"/>
          <w:color w:val="010000"/>
        </w:rPr>
      </w:pPr>
    </w:p>
    <w:p>
      <w:pPr>
        <w:ind w:left="660" w:firstLine="644"/>
        <w:spacing w:after="0" w:line="271" w:lineRule="auto"/>
        <w:tabs>
          <w:tab w:leader="none" w:pos="188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cash management obligations and Indebtedness incurred in respect of netting services, overdraft protection and similar arrangements;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65" w:lineRule="auto"/>
        <w:tabs>
          <w:tab w:leader="none" w:pos="1939" w:val="left"/>
        </w:tabs>
        <w:numPr>
          <w:ilvl w:val="0"/>
          <w:numId w:val="1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Indebtedness of a Person existing at the time such Person became a Restricted Subsidiary or property was acquired from such Person to the extent such Indebtedness was not incurred in connection with or in contemplation of, such Person becoming a Restricted Subsidiary or the acquisition of such property, not to exceed in an aggregate principal amount at any time outstanding $100,000,000 and any Permitted Refinancing Indebtedness related thereto (it being understood that any accrued but unpaid interest and the amount of all expenses and premiums incurred in connection therewith added to any principal amount shall not constitute an increment in principal for purposes of this paragraph);</w:t>
      </w:r>
    </w:p>
    <w:p>
      <w:pPr>
        <w:spacing w:after="0" w:line="168" w:lineRule="exact"/>
        <w:rPr>
          <w:rFonts w:ascii="Times New Roman" w:cs="Times New Roman" w:eastAsia="Times New Roman" w:hAnsi="Times New Roman"/>
          <w:sz w:val="21"/>
          <w:szCs w:val="21"/>
          <w:color w:val="010000"/>
        </w:rPr>
      </w:pPr>
    </w:p>
    <w:p>
      <w:pPr>
        <w:ind w:left="1960" w:hanging="656"/>
        <w:spacing w:after="0"/>
        <w:tabs>
          <w:tab w:leader="none" w:pos="196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earnout obligation that comprises a portion of the consideration for a Permitted Acquisition;</w:t>
      </w:r>
    </w:p>
    <w:p>
      <w:pPr>
        <w:spacing w:after="0" w:line="233" w:lineRule="exact"/>
        <w:rPr>
          <w:rFonts w:ascii="Times New Roman" w:cs="Times New Roman" w:eastAsia="Times New Roman" w:hAnsi="Times New Roman"/>
          <w:sz w:val="22"/>
          <w:szCs w:val="22"/>
          <w:color w:val="010000"/>
        </w:rPr>
      </w:pPr>
    </w:p>
    <w:p>
      <w:pPr>
        <w:ind w:left="660" w:firstLine="644"/>
        <w:spacing w:after="0" w:line="271" w:lineRule="auto"/>
        <w:tabs>
          <w:tab w:leader="none" w:pos="1955"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consisting of obligations under deferred compensation or other similar arrangements incurred by the Borrower or any Restricted Subsidiary in connection with any Permitted Acquisition;</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2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Monetization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provide to the Administrative Agent prompt written notice of any such Monetization Indebtedness incurred by the Borrower or a Restricted Subsidiary together with a brief description of the terms thereof;</w:t>
      </w:r>
    </w:p>
    <w:p>
      <w:pPr>
        <w:spacing w:after="0" w:line="186" w:lineRule="exact"/>
        <w:rPr>
          <w:rFonts w:ascii="Times New Roman" w:cs="Times New Roman" w:eastAsia="Times New Roman" w:hAnsi="Times New Roman"/>
          <w:sz w:val="22"/>
          <w:szCs w:val="22"/>
          <w:color w:val="010000"/>
        </w:rPr>
      </w:pPr>
    </w:p>
    <w:p>
      <w:pPr>
        <w:ind w:left="660" w:firstLine="644"/>
        <w:spacing w:after="0" w:line="271" w:lineRule="auto"/>
        <w:tabs>
          <w:tab w:leader="none" w:pos="1956"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incurred as consideration for any Permitted Acquisition and consisting solely of a deferred or contingent obligation to deliver Equity Interests in the Company;</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2032"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Indebtedness of the Borrower or any Restricted Subsidiary, to the extent not otherwise permitted by clauses (i) through (xvi) of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so long as the aggregate principal amount of all such Indebtedness outstanding at any one time pursuant to this clause (xvii) shall not exceed the sum of $500,000,000;</w:t>
      </w:r>
    </w:p>
    <w:p>
      <w:pPr>
        <w:spacing w:after="0" w:line="186"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2108"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incurred by Foreign Subsidiaries in an aggregate principal amount at any time outstanding not to exceed $350,000,000;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5" w:name="page166"/>
    <w:bookmarkEnd w:id="165"/>
    <w:p>
      <w:pPr>
        <w:jc w:val="both"/>
        <w:ind w:left="660" w:firstLine="644"/>
        <w:spacing w:after="0" w:line="251" w:lineRule="auto"/>
        <w:tabs>
          <w:tab w:leader="none" w:pos="2037"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Indebtedness incurred by the Borrower or any Restricted Subsidiary that is a Special Purpose Producer which is non-recourse to the Company or any Restricted Subsidiary other than (x) </w:t>
      </w:r>
      <w:r>
        <w:rPr>
          <w:rFonts w:ascii="Times New Roman" w:cs="Times New Roman" w:eastAsia="Times New Roman" w:hAnsi="Times New Roman"/>
          <w:sz w:val="22"/>
          <w:szCs w:val="22"/>
          <w:color w:val="FF0000"/>
          <w:strike w:val="1"/>
        </w:rPr>
        <w:t>any Special Purpose Producer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pursuant to Negative Pick-up Obligations, Program Acquisition Guarantees or short-fall Guarantees, or any other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customary Guarantee or non-recourse carve-out and (y) Guarantees for which recourse is limited solely to the Equity Interests in such Special Purpose Producer, so long as the aggregate principal amount of all such Indebtedness outstanding at any one time pursuant to this clause (xix) shall not exceed $250,000,000; and</w:t>
      </w:r>
    </w:p>
    <w:p>
      <w:pPr>
        <w:spacing w:after="0" w:line="181"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obligations or liabilities in respect of any Permitted Bond Hedge Transactions, or any Permitted Warrant</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Transactions.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the maximum amount of Indebtedness that may be incurred pursuant to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shall not be deemed to be exceeded with respect to any outstanding Indebtedness due solely to the result of fluctuations in the exchange rates of currencies or changes in GAAP.</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7.16 </w:t>
      </w:r>
      <w:r>
        <w:rPr>
          <w:rFonts w:ascii="Times New Roman" w:cs="Times New Roman" w:eastAsia="Times New Roman" w:hAnsi="Times New Roman"/>
          <w:sz w:val="22"/>
          <w:szCs w:val="22"/>
          <w:color w:val="000000"/>
        </w:rPr>
        <w:t>Contingent Liabilities. None of the Loan Parties will, or will permit any of its Restricted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Subsidiaries to, directly or indirectly (including, without limitation, by means of causing a bank to open a letter of credit), guarantee, endorse, contingently agree to purchase or to furnish funds for the payment or maintenance of, or otherwise be or become contingently liable upon or with respect to, the Indebtedness, other obligations, net worth, working capital or earnings of any Person, or guarantee the payment of dividends or other distributions upon the stock or other ownership interests of any Person, or agree to purchase, sell or lease (as lessee or lessor) property, products, materials, supplies or services primarily for the purpose of enabling a debtor to make payment of its obligations or to assure a creditor against loss (all such transactions being herein called “</w:t>
      </w:r>
      <w:r>
        <w:rPr>
          <w:rFonts w:ascii="Times New Roman" w:cs="Times New Roman" w:eastAsia="Times New Roman" w:hAnsi="Times New Roman"/>
          <w:sz w:val="22"/>
          <w:szCs w:val="22"/>
          <w:u w:val="single" w:color="auto"/>
          <w:color w:val="000000"/>
        </w:rPr>
        <w:t>Guarantees</w:t>
      </w:r>
      <w:r>
        <w:rPr>
          <w:rFonts w:ascii="Times New Roman" w:cs="Times New Roman" w:eastAsia="Times New Roman" w:hAnsi="Times New Roman"/>
          <w:sz w:val="22"/>
          <w:szCs w:val="22"/>
          <w:color w:val="000000"/>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-1176020</wp:posOffset>
            </wp:positionV>
            <wp:extent cx="1499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1720" w:hanging="416"/>
        <w:spacing w:after="0"/>
        <w:tabs>
          <w:tab w:leader="none" w:pos="1720" w:val="left"/>
        </w:tabs>
        <w:numPr>
          <w:ilvl w:val="1"/>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Guarantees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Guarantees by each of the Guarantors of Incremental Equivalent Debt;</w:t>
      </w:r>
    </w:p>
    <w:p>
      <w:pPr>
        <w:spacing w:after="0" w:line="195"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endorsements of negotiable instruments for deposit or collection in the ordinary course of business;</w:t>
      </w:r>
    </w:p>
    <w:p>
      <w:pPr>
        <w:spacing w:after="0" w:line="233" w:lineRule="exact"/>
        <w:rPr>
          <w:rFonts w:ascii="Times New Roman" w:cs="Times New Roman" w:eastAsia="Times New Roman" w:hAnsi="Times New Roman"/>
          <w:sz w:val="22"/>
          <w:szCs w:val="22"/>
          <w:color w:val="010000"/>
        </w:rPr>
      </w:pPr>
    </w:p>
    <w:p>
      <w:pPr>
        <w:jc w:val="both"/>
        <w:ind w:left="660" w:firstLine="644"/>
        <w:spacing w:after="0" w:line="261" w:lineRule="auto"/>
        <w:tabs>
          <w:tab w:leader="none" w:pos="1868" w:val="left"/>
        </w:tabs>
        <w:numPr>
          <w:ilvl w:val="1"/>
          <w:numId w:val="1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Guarantees (A) by the Borrower or one or more of the Restricted Subsidiaries of Indebtedness of, and other obligations (incurred in the ordinary course of business) of, another Restricted Subsidiary, but only if such Indebtedness or obligations are permitted by this Credit Agreement, (B) by a wholly owned Restricted Subsidiary that is not a Loan Party in favor of another wholly owned Restricted Subsidiary that is not a Loan Party and (C) by a Foreign Restricted Subsidiary in favor of another Foreign Subsidiary or a foreign joint venture (together with all other Investments in and Guarantees in respect of such entities by Foreign Restricted Subsidiaries permitted by this clause (iii)(C), </w:t>
      </w:r>
      <w:r>
        <w:rPr>
          <w:rFonts w:ascii="Times New Roman" w:cs="Times New Roman" w:eastAsia="Times New Roman" w:hAnsi="Times New Roman"/>
          <w:sz w:val="21"/>
          <w:szCs w:val="21"/>
          <w:u w:val="single" w:color="auto"/>
          <w:color w:val="auto"/>
        </w:rPr>
        <w:t>Section 7.15(v)</w:t>
      </w:r>
    </w:p>
    <w:p>
      <w:pPr>
        <w:ind w:left="1000" w:hanging="344"/>
        <w:spacing w:after="0"/>
        <w:tabs>
          <w:tab w:leader="none" w:pos="1000" w:val="left"/>
        </w:tabs>
        <w:numPr>
          <w:ilvl w:val="0"/>
          <w:numId w:val="18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7.18(xii)(B)</w:t>
      </w:r>
      <w:r>
        <w:rPr>
          <w:rFonts w:ascii="Times New Roman" w:cs="Times New Roman" w:eastAsia="Times New Roman" w:hAnsi="Times New Roman"/>
          <w:sz w:val="22"/>
          <w:szCs w:val="22"/>
          <w:color w:val="auto"/>
        </w:rPr>
        <w:t>) in an aggregate principal amount not to exceed at any time outstanding $200,000,000;</w:t>
      </w:r>
    </w:p>
    <w:p>
      <w:pPr>
        <w:spacing w:after="0" w:line="195" w:lineRule="exact"/>
        <w:rPr>
          <w:rFonts w:ascii="Times New Roman" w:cs="Times New Roman" w:eastAsia="Times New Roman" w:hAnsi="Times New Roman"/>
          <w:sz w:val="22"/>
          <w:szCs w:val="22"/>
          <w:u w:val="single" w:color="auto"/>
          <w:color w:val="auto"/>
        </w:rPr>
      </w:pPr>
    </w:p>
    <w:p>
      <w:pPr>
        <w:ind w:left="660" w:firstLine="644"/>
        <w:spacing w:after="0" w:line="271" w:lineRule="auto"/>
        <w:tabs>
          <w:tab w:leader="none" w:pos="1870" w:val="left"/>
        </w:tabs>
        <w:numPr>
          <w:ilvl w:val="1"/>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obligations under agreements to indemnify Persons who have issued bid or performance bonds or letters of credit issued in lieu of such bonds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6" w:name="page167"/>
    <w:bookmarkEnd w:id="166"/>
    <w:p>
      <w:pPr>
        <w:ind w:left="660"/>
        <w:spacing w:after="0" w:line="271" w:lineRule="auto"/>
        <w:rPr>
          <w:sz w:val="20"/>
          <w:szCs w:val="20"/>
          <w:color w:val="auto"/>
        </w:rPr>
      </w:pPr>
      <w:r>
        <w:rPr>
          <w:rFonts w:ascii="Times New Roman" w:cs="Times New Roman" w:eastAsia="Times New Roman" w:hAnsi="Times New Roman"/>
          <w:sz w:val="22"/>
          <w:szCs w:val="22"/>
          <w:color w:val="auto"/>
        </w:rPr>
        <w:t>of business of the Company or any Restricted Subsidiary securing performance by such Person of activities otherwise permissible hereunder;</w:t>
      </w:r>
    </w:p>
    <w:p>
      <w:pPr>
        <w:spacing w:after="0" w:line="158" w:lineRule="exact"/>
        <w:rPr>
          <w:sz w:val="20"/>
          <w:szCs w:val="20"/>
          <w:color w:val="auto"/>
        </w:rPr>
      </w:pPr>
    </w:p>
    <w:p>
      <w:pPr>
        <w:jc w:val="both"/>
        <w:ind w:left="660" w:firstLine="644"/>
        <w:spacing w:after="0" w:line="250" w:lineRule="auto"/>
        <w:tabs>
          <w:tab w:leader="none" w:pos="1795"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Guarantees by the Company and the Restricted Subsidiaries (A) in support of leases and other obligations of third parties entered into in connection with production and production-related arrangements or arrangements for the compensation of talent through third-party intermediaries, (B) for purposes of securing for the Company and its Subsidiaries and joint ventures (1) programming or transponder rights, (2) Affiliation Agreements, (3) advertising representation agreements, marketing and service arrangements, and (4) real estate leases, and extensions, replacements and modifications of the foregoing, (C) of indemnification obligations of the Company and its Subsidiaries and joint ventures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any such indemnification obligations are in respect of Indebtedness, such Guarantee shall be permitted to be incurred pursuant to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(other than clause (iv) thereof)), and (D) made in the ordinary course of business of obligations that do not constitute Indebtedness;</w:t>
      </w:r>
    </w:p>
    <w:p>
      <w:pPr>
        <w:spacing w:after="0" w:line="179"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881"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Guarantees of obligations incurred under credit cards issued to the Company, its Restricted Subsidiaries or their respective employees;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56"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Finance Lease Obligations to the extent they constitute Guarantees by reason of having been assigned by the lessor to a lender to such lessor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obligors in respect of such Finance Lease Obligations do not increase their liability by reason of such assignment);</w:t>
      </w:r>
    </w:p>
    <w:p>
      <w:pPr>
        <w:spacing w:after="0" w:line="186" w:lineRule="exact"/>
        <w:rPr>
          <w:rFonts w:ascii="Times New Roman" w:cs="Times New Roman" w:eastAsia="Times New Roman" w:hAnsi="Times New Roman"/>
          <w:sz w:val="22"/>
          <w:szCs w:val="22"/>
          <w:color w:val="010000"/>
        </w:rPr>
      </w:pPr>
    </w:p>
    <w:p>
      <w:pPr>
        <w:ind w:left="1980" w:hanging="676"/>
        <w:spacing w:after="0"/>
        <w:tabs>
          <w:tab w:leader="none" w:pos="1980" w:val="left"/>
        </w:tabs>
        <w:numPr>
          <w:ilvl w:val="1"/>
          <w:numId w:val="1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unsecured Guarantees by Loan Parties of the Borrower’s obligations in respect of (a) any Permitted Debt,</w:t>
      </w:r>
    </w:p>
    <w:p>
      <w:pPr>
        <w:spacing w:after="0" w:line="39" w:lineRule="exact"/>
        <w:rPr>
          <w:rFonts w:ascii="Times New Roman" w:cs="Times New Roman" w:eastAsia="Times New Roman" w:hAnsi="Times New Roman"/>
          <w:sz w:val="21"/>
          <w:szCs w:val="21"/>
          <w:color w:val="010000"/>
        </w:rPr>
      </w:pPr>
    </w:p>
    <w:p>
      <w:pPr>
        <w:ind w:left="660" w:hanging="4"/>
        <w:spacing w:after="0" w:line="248" w:lineRule="auto"/>
        <w:tabs>
          <w:tab w:leader="none" w:pos="105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issued and outstanding under the Senior Notes Indenture and (c) any Permitted Refinancing Indebtedness in respect of any such Indebtedness under clause (a) or (b);</w:t>
      </w:r>
    </w:p>
    <w:p>
      <w:pPr>
        <w:spacing w:after="0" w:line="18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Letters of Credit;</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48" w:lineRule="auto"/>
        <w:tabs>
          <w:tab w:leader="none" w:pos="1813" w:val="left"/>
        </w:tabs>
        <w:numPr>
          <w:ilvl w:val="1"/>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Guarantee by the Borrower or a Restricted Subsidiary of the obligations of any Unrestricted Subsidiary or any Restricted Subsidiary that is not a Loan Party, so long as (A) recourse to the Borrower or such Restricted Subsidiary thereunder is limited solely to shares of capital stock of such Unrestricted Subsidiary, such Restricted Subsidiary that is not a Loan Party, or their Subsidiaries and to no other assets of the Borrower or the other Loan Parties and (B) neither the Borrower nor any Restricted Subsidiary agrees, in connection therewith, to any limitation on the amount of Indebtedness which may be incurred by them, to the granting of any Liens on assets of the Borrower or any of the Restricted Subsidiaries (other than shares of stock of such Unrestricted Subsidiary, such Restricted Subsidiary that is not a Loan Party, or their Subsidiaries), to any acquisition or disposition of any assets of the Borrower or the Restricted Subsidiaries (other than shares of capital stock of such Unrestricted Subsidiary, such Restricted Subsidiary that is not a Loan Party, or their Subsidiaries) or to any modification or supplement of this Credit Agreement or any agreement entered into by the Borrower or any of the Restricted Subsidiaries refinancing any substantial portion of the Indebtedness outstanding under this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7" w:name="page168"/>
    <w:bookmarkEnd w:id="167"/>
    <w:p>
      <w:pPr>
        <w:jc w:val="both"/>
        <w:ind w:left="660" w:firstLine="644"/>
        <w:spacing w:after="0" w:line="252" w:lineRule="auto"/>
        <w:tabs>
          <w:tab w:leader="none" w:pos="2006"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Guarantee by the Borrower or a Restricted Subsidiary of the obligations or Indebtedness of any Unrestricted Subsidiary, Restricted Subsidiary that is not a Loan Party, or joint venture;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Guarantees, when combined with the aggregate amount of Investments in Unrestricted Subsidiaries and joint ventures made pursuant to </w:t>
      </w:r>
      <w:r>
        <w:rPr>
          <w:rFonts w:ascii="Times New Roman" w:cs="Times New Roman" w:eastAsia="Times New Roman" w:hAnsi="Times New Roman"/>
          <w:sz w:val="22"/>
          <w:szCs w:val="22"/>
          <w:u w:val="single" w:color="auto"/>
          <w:color w:val="auto"/>
        </w:rPr>
        <w:t>Section 7.18(xii)</w:t>
      </w:r>
      <w:r>
        <w:rPr>
          <w:rFonts w:ascii="Times New Roman" w:cs="Times New Roman" w:eastAsia="Times New Roman" w:hAnsi="Times New Roman"/>
          <w:sz w:val="22"/>
          <w:szCs w:val="22"/>
          <w:color w:val="auto"/>
        </w:rPr>
        <w:t>, does not exceed $200,000,000 at any time outstanding;</w:t>
      </w:r>
    </w:p>
    <w:p>
      <w:pPr>
        <w:spacing w:after="0" w:line="179" w:lineRule="exact"/>
        <w:rPr>
          <w:rFonts w:ascii="Times New Roman" w:cs="Times New Roman" w:eastAsia="Times New Roman" w:hAnsi="Times New Roman"/>
          <w:sz w:val="22"/>
          <w:szCs w:val="22"/>
          <w:color w:val="010000"/>
        </w:rPr>
      </w:pPr>
    </w:p>
    <w:p>
      <w:pPr>
        <w:ind w:left="1900" w:hanging="596"/>
        <w:spacing w:after="0"/>
        <w:tabs>
          <w:tab w:leader="none" w:pos="1900"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Guarantees which would constitute Investments which are not prohibited by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010000"/>
        </w:rPr>
      </w:pPr>
    </w:p>
    <w:p>
      <w:pPr>
        <w:jc w:val="both"/>
        <w:ind w:left="660" w:firstLine="644"/>
        <w:spacing w:after="0" w:line="265" w:lineRule="auto"/>
        <w:tabs>
          <w:tab w:leader="none" w:pos="2025" w:val="left"/>
        </w:tabs>
        <w:numPr>
          <w:ilvl w:val="0"/>
          <w:numId w:val="1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Obligations under contracts providing for the acquisition of or provision of goods or services (including Leases or licenses of property) incurred in the ordinary course of business for which the Borrower or any of its Restricted Subsidiaries may be jointly and severally liable with Affiliates of the Borrower as to which costs are allocated (as among the Borrower and its Affiliates) based on cost, usage or other reasonable method of allocation;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undertaking of such liabilities are not intended as a guaranty or other credit support of such obligations;</w:t>
      </w:r>
    </w:p>
    <w:p>
      <w:pPr>
        <w:spacing w:after="0" w:line="178" w:lineRule="exact"/>
        <w:rPr>
          <w:rFonts w:ascii="Times New Roman" w:cs="Times New Roman" w:eastAsia="Times New Roman" w:hAnsi="Times New Roman"/>
          <w:sz w:val="21"/>
          <w:szCs w:val="21"/>
          <w:color w:val="010000"/>
        </w:rPr>
      </w:pPr>
    </w:p>
    <w:p>
      <w:pPr>
        <w:jc w:val="both"/>
        <w:ind w:left="660" w:firstLine="644"/>
        <w:spacing w:after="0" w:line="252" w:lineRule="auto"/>
        <w:tabs>
          <w:tab w:leader="none" w:pos="1992"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Guarantee by the Borrower or a Restricted Subsidiary of any obligation to the extent such obligation can be entirely satisfied (at the option of the Borrower or such Restricted Subsidiary) by the delivery of Equity Interests in the Company, if the Company agrees in a notice to the Administrative Agent that such obligation shall be satisfied solely by the delivery of such Equity Interests;</w:t>
      </w:r>
    </w:p>
    <w:p>
      <w:pPr>
        <w:spacing w:after="0" w:line="179" w:lineRule="exact"/>
        <w:rPr>
          <w:rFonts w:ascii="Times New Roman" w:cs="Times New Roman" w:eastAsia="Times New Roman" w:hAnsi="Times New Roman"/>
          <w:sz w:val="22"/>
          <w:szCs w:val="22"/>
          <w:color w:val="010000"/>
        </w:rPr>
      </w:pPr>
    </w:p>
    <w:p>
      <w:pPr>
        <w:ind w:left="1880" w:hanging="576"/>
        <w:spacing w:after="0"/>
        <w:tabs>
          <w:tab w:leader="none" w:pos="1880"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Guarantees incurred in connection with a Monetization Transaction;</w:t>
      </w:r>
    </w:p>
    <w:p>
      <w:pPr>
        <w:spacing w:after="0" w:line="21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Guarantees of Leases of the Borrower and its Restricted Subsidiaries entered into in the ordinary course of</w:t>
      </w:r>
    </w:p>
    <w:p>
      <w:pPr>
        <w:spacing w:after="0" w:line="40" w:lineRule="exact"/>
        <w:rPr>
          <w:rFonts w:ascii="Times New Roman" w:cs="Times New Roman" w:eastAsia="Times New Roman" w:hAnsi="Times New Roman"/>
          <w:sz w:val="21"/>
          <w:szCs w:val="21"/>
          <w:color w:val="010000"/>
        </w:rPr>
      </w:pP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business;</w:t>
      </w:r>
    </w:p>
    <w:p>
      <w:pPr>
        <w:spacing w:after="0" w:line="207" w:lineRule="exact"/>
        <w:rPr>
          <w:rFonts w:ascii="Times New Roman" w:cs="Times New Roman" w:eastAsia="Times New Roman" w:hAnsi="Times New Roman"/>
          <w:sz w:val="21"/>
          <w:szCs w:val="21"/>
          <w:color w:val="010000"/>
        </w:rPr>
      </w:pPr>
    </w:p>
    <w:p>
      <w:pPr>
        <w:ind w:left="660" w:firstLine="644"/>
        <w:spacing w:after="0" w:line="271" w:lineRule="auto"/>
        <w:tabs>
          <w:tab w:leader="none" w:pos="2120"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Guarantee by the Borrower or any Restricted Subsidiary of Indebtedness of the Borrower or any Restricted Subsidiary which Indebtedness is permitted to be incurred under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2060" w:hanging="756"/>
        <w:spacing w:after="0"/>
        <w:tabs>
          <w:tab w:leader="none" w:pos="2060"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Guarantees of obligations or Indebtedness of Foreign Subsidiaries permitted by </w:t>
      </w:r>
      <w:r>
        <w:rPr>
          <w:rFonts w:ascii="Times New Roman" w:cs="Times New Roman" w:eastAsia="Times New Roman" w:hAnsi="Times New Roman"/>
          <w:sz w:val="22"/>
          <w:szCs w:val="22"/>
          <w:u w:val="single" w:color="auto"/>
          <w:color w:val="auto"/>
        </w:rPr>
        <w:t>Section 7.15(xviii)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967"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Guarantee by the Company or a Restricted Subsidiary of the obligation of a Subsidiary to purchase an interest not owned by the Company or its Subsidiaries in the business of BBC America, including through New Video Channel America, L.L.C. and its successors and assigns;</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1976"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Guarantees by the Company and the Restricted Subsidiaries under financial support letters requested by auditors for the benefit of one or more Unrestricted Subsidiaries or joint ventures of the Company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such letter is requested by such auditor for the purpose of providing an opinion without a “going concern” or like qualification commentary or exception and is not for the benefit or use by any Person other than such Unrestricted Subsidiaries or joint ventures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8" w:name="page169"/>
    <w:bookmarkEnd w:id="168"/>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such Guarantee is otherwise permitted by clauses (xi), (xii) or (</w:t>
      </w:r>
      <w:r>
        <w:rPr>
          <w:rFonts w:ascii="Times New Roman" w:cs="Times New Roman" w:eastAsia="Times New Roman" w:hAnsi="Times New Roman"/>
          <w:sz w:val="21"/>
          <w:szCs w:val="21"/>
          <w:color w:val="FF0000"/>
          <w:strike w:val="1"/>
        </w:rPr>
        <w:t>xxii</w:t>
      </w:r>
      <w:r>
        <w:rPr>
          <w:rFonts w:ascii="Times New Roman" w:cs="Times New Roman" w:eastAsia="Times New Roman" w:hAnsi="Times New Roman"/>
          <w:sz w:val="21"/>
          <w:szCs w:val="21"/>
          <w:u w:val="single" w:color="auto"/>
          <w:color w:val="0000FF"/>
        </w:rPr>
        <w:t>xxiii</w:t>
      </w:r>
      <w:r>
        <w:rPr>
          <w:rFonts w:ascii="Times New Roman" w:cs="Times New Roman" w:eastAsia="Times New Roman" w:hAnsi="Times New Roman"/>
          <w:sz w:val="21"/>
          <w:szCs w:val="21"/>
          <w:color w:val="auto"/>
        </w:rPr>
        <w:t>) of this Section 7.16 at the time of issuance of such Guarantee. For purposes of determining compliance with the foregoing sub-clause (II), the amount of any such Guarantee shall be the amount determined by the Company in good faith that, in the light of all the facts and circumstances existing on the date such financial support letter is delivered to the auditor, represents the amount of underlying obligations reasonably expected by the Company during the term of such financial support letter (irrespective of whether such contingent liabilities meet the criteria for accrual under Accounting Standards Codification 450), taking into account the projected business operations of the beneficiary of such financial support letter during the term thereof;</w:t>
      </w:r>
    </w:p>
    <w:p>
      <w:pPr>
        <w:spacing w:after="0" w:line="173" w:lineRule="exact"/>
        <w:rPr>
          <w:sz w:val="20"/>
          <w:szCs w:val="20"/>
          <w:color w:val="auto"/>
        </w:rPr>
      </w:pPr>
    </w:p>
    <w:p>
      <w:pPr>
        <w:jc w:val="both"/>
        <w:ind w:left="660" w:firstLine="644"/>
        <w:spacing w:after="0" w:line="250" w:lineRule="auto"/>
        <w:tabs>
          <w:tab w:leader="none" w:pos="2121"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Guarantees by the Company and the Restricted Subsidiaries of obligations of the Company and its Subsidiaries and joint ventures arising under purchase or other acquisition agreements in respect of acquisitions or other Investments not prohibited by Section 7.18;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Guarantee is otherwise permitted by another clause of this Section 7.16 at the time of issuance of such Guarantee. For purposes of determining compliance with this clause (xxi), the amount of any such Guarantee shall be the amount determined by the Company in good faith that, in the light of all the facts and circumstances existing on the date such purchase or other acquisition agreement is entered into, represents the amount of underlying obligations reasonably expected by the Company to be paid thereunder;</w:t>
      </w:r>
    </w:p>
    <w:p>
      <w:pPr>
        <w:spacing w:after="0" w:line="180" w:lineRule="exact"/>
        <w:rPr>
          <w:rFonts w:ascii="Times New Roman" w:cs="Times New Roman" w:eastAsia="Times New Roman" w:hAnsi="Times New Roman"/>
          <w:sz w:val="22"/>
          <w:szCs w:val="22"/>
          <w:color w:val="010000"/>
        </w:rPr>
      </w:pPr>
    </w:p>
    <w:p>
      <w:pPr>
        <w:ind w:left="2000" w:hanging="696"/>
        <w:spacing w:after="0"/>
        <w:tabs>
          <w:tab w:leader="none" w:pos="2000"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obligations constituting Standard Undertakings in connection with a Qualified Receivables Facility; and</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2069"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Guarantees, including, but not limited to, without duplication, surety bonds, by the Borrower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the obligations guaranteed does not exceed $350,000,000 at any one time outstanding.</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the maximum amount of Indebtedness that may be incurred pursuant to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shall not be deemed to be exceeded with respect to any outstanding Guarantees due solely to the result of fluctuations in the exchange rates of currencies or changes in GAAP.</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7.17 </w:t>
      </w:r>
      <w:r>
        <w:rPr>
          <w:rFonts w:ascii="Times New Roman" w:cs="Times New Roman" w:eastAsia="Times New Roman" w:hAnsi="Times New Roman"/>
          <w:sz w:val="22"/>
          <w:szCs w:val="22"/>
          <w:color w:val="000000"/>
        </w:rPr>
        <w:t>Liens. None of the Loan Parties will, or will permit any of its Restricted Subsidiaries to, create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suffer to exist, any mortgage, pledge, security interest, conditional sale or other title retention agreement, lien, charge or encumbrance upon any of its assets, now owned or hereafter acquired, securing any Indebtedness or other obligation (all such security being herein called “</w:t>
      </w:r>
      <w:r>
        <w:rPr>
          <w:rFonts w:ascii="Times New Roman" w:cs="Times New Roman" w:eastAsia="Times New Roman" w:hAnsi="Times New Roman"/>
          <w:sz w:val="22"/>
          <w:szCs w:val="22"/>
          <w:u w:val="single" w:color="auto"/>
          <w:color w:val="000000"/>
        </w:rPr>
        <w:t>Liens</w:t>
      </w:r>
      <w:r>
        <w:rPr>
          <w:rFonts w:ascii="Times New Roman" w:cs="Times New Roman" w:eastAsia="Times New Roman" w:hAnsi="Times New Roman"/>
          <w:sz w:val="22"/>
          <w:szCs w:val="22"/>
          <w:color w:val="000000"/>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-520065</wp:posOffset>
            </wp:positionV>
            <wp:extent cx="4673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7360" cy="8890"/>
                    </a:xfrm>
                    <a:prstGeom prst="rect">
                      <a:avLst/>
                    </a:prstGeom>
                    <a:noFill/>
                  </pic:spPr>
                </pic:pic>
              </a:graphicData>
            </a:graphic>
          </wp:anchor>
        </w:drawing>
      </w:r>
    </w:p>
    <w:p>
      <w:pPr>
        <w:ind w:left="1720" w:hanging="416"/>
        <w:spacing w:after="0"/>
        <w:tabs>
          <w:tab w:leader="none" w:pos="1720"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on property securing Indebtedness owed to the Borrower or any Restricted Subsidiary;</w:t>
      </w:r>
    </w:p>
    <w:p>
      <w:pPr>
        <w:spacing w:after="0" w:line="209"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91"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securing Finance Lease Obligations or other Indebtedness for the deferred acquisition price of property or services to the extent such Liens attach solely to the property acquired with or subject to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69" w:name="page170"/>
    <w:bookmarkEnd w:id="169"/>
    <w:p>
      <w:pPr>
        <w:ind w:left="660"/>
        <w:spacing w:after="0" w:line="271" w:lineRule="auto"/>
        <w:rPr>
          <w:sz w:val="20"/>
          <w:szCs w:val="20"/>
          <w:color w:val="auto"/>
        </w:rPr>
      </w:pPr>
      <w:r>
        <w:rPr>
          <w:rFonts w:ascii="Times New Roman" w:cs="Times New Roman" w:eastAsia="Times New Roman" w:hAnsi="Times New Roman"/>
          <w:sz w:val="22"/>
          <w:szCs w:val="22"/>
          <w:color w:val="auto"/>
        </w:rPr>
        <w:t>financings of assets provided by one lender may be cross-collateralized to other financings of fixed or capital assets provided by such lender;</w:t>
      </w:r>
    </w:p>
    <w:p>
      <w:pPr>
        <w:spacing w:after="0" w:line="158" w:lineRule="exact"/>
        <w:rPr>
          <w:sz w:val="20"/>
          <w:szCs w:val="20"/>
          <w:color w:val="auto"/>
        </w:rPr>
      </w:pPr>
    </w:p>
    <w:p>
      <w:pPr>
        <w:ind w:left="660" w:right="20" w:firstLine="644"/>
        <w:spacing w:after="0" w:line="271" w:lineRule="auto"/>
        <w:tabs>
          <w:tab w:leader="none" w:pos="1910"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securing all of the obligations of the Borrower and the Restricted Subsidiaries hereunder and under the other Loan Documents, including Liens in favor of a Hedge Bank in connection with a Secured Hedge Agreement;</w:t>
      </w:r>
    </w:p>
    <w:p>
      <w:pPr>
        <w:spacing w:after="0" w:line="157" w:lineRule="exact"/>
        <w:rPr>
          <w:rFonts w:ascii="Times New Roman" w:cs="Times New Roman" w:eastAsia="Times New Roman" w:hAnsi="Times New Roman"/>
          <w:sz w:val="22"/>
          <w:szCs w:val="22"/>
          <w:color w:val="010000"/>
        </w:rPr>
      </w:pPr>
    </w:p>
    <w:p>
      <w:pPr>
        <w:ind w:left="1840" w:hanging="536"/>
        <w:spacing w:after="0"/>
        <w:tabs>
          <w:tab w:leader="none" w:pos="1840"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Liens;</w:t>
      </w:r>
    </w:p>
    <w:p>
      <w:pPr>
        <w:spacing w:after="0" w:line="233"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786"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Liens on property or assets in effect on the Amendment No.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to the extent set forth on </w:t>
      </w:r>
      <w:r>
        <w:rPr>
          <w:rFonts w:ascii="Times New Roman" w:cs="Times New Roman" w:eastAsia="Times New Roman" w:hAnsi="Times New Roman"/>
          <w:sz w:val="22"/>
          <w:szCs w:val="22"/>
          <w:u w:val="single" w:color="auto"/>
          <w:color w:val="auto"/>
        </w:rPr>
        <w:t>Schedule 7.17</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1880" w:hanging="576"/>
        <w:spacing w:after="0"/>
        <w:tabs>
          <w:tab w:leader="none" w:pos="1880" w:val="left"/>
        </w:tabs>
        <w:numPr>
          <w:ilvl w:val="1"/>
          <w:numId w:val="1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Liens on Equity Interests in any Unrestricted Subsidiary or joint venture of the Borrower or any Restricted</w:t>
      </w:r>
    </w:p>
    <w:p>
      <w:pPr>
        <w:spacing w:after="0" w:line="39" w:lineRule="exact"/>
        <w:rPr>
          <w:rFonts w:ascii="Times New Roman" w:cs="Times New Roman" w:eastAsia="Times New Roman" w:hAnsi="Times New Roman"/>
          <w:sz w:val="21"/>
          <w:szCs w:val="21"/>
          <w:color w:val="010000"/>
        </w:rPr>
      </w:pP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Subsidiary;</w:t>
      </w:r>
    </w:p>
    <w:p>
      <w:pPr>
        <w:spacing w:after="0" w:line="195" w:lineRule="exact"/>
        <w:rPr>
          <w:rFonts w:ascii="Times New Roman" w:cs="Times New Roman" w:eastAsia="Times New Roman" w:hAnsi="Times New Roman"/>
          <w:sz w:val="21"/>
          <w:szCs w:val="21"/>
          <w:color w:val="010000"/>
        </w:rPr>
      </w:pPr>
    </w:p>
    <w:p>
      <w:pPr>
        <w:jc w:val="both"/>
        <w:ind w:left="660" w:firstLine="644"/>
        <w:spacing w:after="0" w:line="261" w:lineRule="auto"/>
        <w:tabs>
          <w:tab w:leader="none" w:pos="1900" w:val="left"/>
        </w:tabs>
        <w:numPr>
          <w:ilvl w:val="1"/>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(i)(A) on advances of cash or Cash Equivalents in favor of the seller of any property to be acquired in an Investment permitted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to be applied against the purchase price for such Investment or</w:t>
      </w:r>
    </w:p>
    <w:p>
      <w:pPr>
        <w:jc w:val="both"/>
        <w:ind w:left="660" w:hanging="4"/>
        <w:spacing w:after="0" w:line="245" w:lineRule="auto"/>
        <w:tabs>
          <w:tab w:leader="none" w:pos="102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consisting of an agreement to dispose of any property in a disposition permitted under </w:t>
      </w:r>
      <w:r>
        <w:rPr>
          <w:rFonts w:ascii="Times New Roman" w:cs="Times New Roman" w:eastAsia="Times New Roman" w:hAnsi="Times New Roman"/>
          <w:sz w:val="22"/>
          <w:szCs w:val="22"/>
          <w:u w:val="single" w:color="auto"/>
          <w:color w:val="auto"/>
        </w:rPr>
        <w:t>Section 7.24</w:t>
      </w:r>
      <w:r>
        <w:rPr>
          <w:rFonts w:ascii="Times New Roman" w:cs="Times New Roman" w:eastAsia="Times New Roman" w:hAnsi="Times New Roman"/>
          <w:sz w:val="22"/>
          <w:szCs w:val="22"/>
          <w:color w:val="auto"/>
        </w:rPr>
        <w:t>, in each case, solely to the extent such Investment or disposition, as the case may be, would have been permitted on the date of the creation of such Lien and (ii) on cash earnest money deposits made by the Borrower or any Restricted Subsidiary in connection with any transaction that constitutes or will constitute a Permitted Acquisition;</w:t>
      </w:r>
    </w:p>
    <w:p>
      <w:pPr>
        <w:spacing w:after="0" w:line="18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securing Monetization Indebtedness;</w:t>
      </w:r>
    </w:p>
    <w:p>
      <w:pPr>
        <w:spacing w:after="0" w:line="233" w:lineRule="exact"/>
        <w:rPr>
          <w:rFonts w:ascii="Times New Roman" w:cs="Times New Roman" w:eastAsia="Times New Roman" w:hAnsi="Times New Roman"/>
          <w:sz w:val="22"/>
          <w:szCs w:val="22"/>
          <w:color w:val="010000"/>
        </w:rPr>
      </w:pPr>
    </w:p>
    <w:p>
      <w:pPr>
        <w:ind w:left="1840" w:hanging="536"/>
        <w:spacing w:after="0"/>
        <w:tabs>
          <w:tab w:leader="none" w:pos="1840" w:val="left"/>
        </w:tabs>
        <w:numPr>
          <w:ilvl w:val="1"/>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securing Indebtedness permitted by </w:t>
      </w:r>
      <w:r>
        <w:rPr>
          <w:rFonts w:ascii="Times New Roman" w:cs="Times New Roman" w:eastAsia="Times New Roman" w:hAnsi="Times New Roman"/>
          <w:sz w:val="22"/>
          <w:szCs w:val="22"/>
          <w:u w:val="single" w:color="auto"/>
          <w:color w:val="auto"/>
        </w:rPr>
        <w:t>Section 7.15(xii)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on assets of Foreign Subsidiaries securing Indebtedness permitted by </w:t>
      </w:r>
      <w:r>
        <w:rPr>
          <w:rFonts w:ascii="Times New Roman" w:cs="Times New Roman" w:eastAsia="Times New Roman" w:hAnsi="Times New Roman"/>
          <w:sz w:val="22"/>
          <w:szCs w:val="22"/>
          <w:u w:val="single" w:color="auto"/>
          <w:color w:val="auto"/>
        </w:rPr>
        <w:t>Section 7.15(xviii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29" w:val="left"/>
        </w:tabs>
        <w:numPr>
          <w:ilvl w:val="1"/>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securing Incremental Equivalent Debt and related Guarantees of Guarantors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Incremental Equivalent Debt is subject to a customary intercreditor agreement reasonably acceptable to the Administrative Agent; and</w:t>
      </w:r>
    </w:p>
    <w:p>
      <w:pPr>
        <w:spacing w:after="0" w:line="186" w:lineRule="exact"/>
        <w:rPr>
          <w:rFonts w:ascii="Times New Roman" w:cs="Times New Roman" w:eastAsia="Times New Roman" w:hAnsi="Times New Roman"/>
          <w:sz w:val="22"/>
          <w:szCs w:val="22"/>
          <w:color w:val="010000"/>
        </w:rPr>
      </w:pPr>
    </w:p>
    <w:p>
      <w:pPr>
        <w:ind w:left="660" w:firstLine="644"/>
        <w:spacing w:after="0" w:line="295" w:lineRule="auto"/>
        <w:tabs>
          <w:tab w:leader="none" w:pos="1960" w:val="left"/>
        </w:tabs>
        <w:numPr>
          <w:ilvl w:val="1"/>
          <w:numId w:val="1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(x) Liens granted by any Special Purpose Producer securing Indebtedness permitted by </w:t>
      </w:r>
      <w:r>
        <w:rPr>
          <w:rFonts w:ascii="Times New Roman" w:cs="Times New Roman" w:eastAsia="Times New Roman" w:hAnsi="Times New Roman"/>
          <w:sz w:val="21"/>
          <w:szCs w:val="21"/>
          <w:u w:val="single" w:color="auto"/>
          <w:color w:val="auto"/>
        </w:rPr>
        <w:t>Section 7.15(xix)</w:t>
      </w:r>
      <w:r>
        <w:rPr>
          <w:rFonts w:ascii="Times New Roman" w:cs="Times New Roman" w:eastAsia="Times New Roman" w:hAnsi="Times New Roman"/>
          <w:sz w:val="21"/>
          <w:szCs w:val="21"/>
          <w:color w:val="auto"/>
        </w:rPr>
        <w:t xml:space="preserve"> and (y) Liens on Equity Interests in any Special Purpose Producer to secure Indebtedness permitted by </w:t>
      </w:r>
      <w:r>
        <w:rPr>
          <w:rFonts w:ascii="Times New Roman" w:cs="Times New Roman" w:eastAsia="Times New Roman" w:hAnsi="Times New Roman"/>
          <w:sz w:val="21"/>
          <w:szCs w:val="21"/>
          <w:u w:val="single" w:color="auto"/>
          <w:color w:val="auto"/>
        </w:rPr>
        <w:t>Section 7.15(xix)</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In addition, neither the Borrower nor any Restricted Subsidiary will enter into or permit to exist any undertaking by it or affecting any of its properties whereby the Borrower or such Restricted Subsidiary shall agree with any Person (other than the Lenders or the Administrative Agent) not to create or suffer to exist any Liens in favor of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 shall not apply to any such undertaking contained in any indenture or other agreement (i) governing any Indebtedness outstanding </w:t>
      </w:r>
      <w:r>
        <w:rPr>
          <w:rFonts w:ascii="Times New Roman" w:cs="Times New Roman" w:eastAsia="Times New Roman" w:hAnsi="Times New Roman"/>
          <w:sz w:val="22"/>
          <w:szCs w:val="22"/>
          <w:color w:val="FF0000"/>
          <w:strike w:val="1"/>
        </w:rPr>
        <w:t>at</w:t>
      </w:r>
      <w:r>
        <w:rPr>
          <w:rFonts w:ascii="Times New Roman" w:cs="Times New Roman" w:eastAsia="Times New Roman" w:hAnsi="Times New Roman"/>
          <w:sz w:val="22"/>
          <w:szCs w:val="22"/>
          <w:u w:val="single" w:color="auto"/>
          <w:color w:val="0000FF"/>
        </w:rPr>
        <w:t>on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Amendment No. 5 Effective Date</w:t>
      </w:r>
      <w:r>
        <w:rPr>
          <w:rFonts w:ascii="Times New Roman" w:cs="Times New Roman" w:eastAsia="Times New Roman" w:hAnsi="Times New Roman"/>
          <w:sz w:val="22"/>
          <w:szCs w:val="22"/>
          <w:color w:val="auto"/>
        </w:rPr>
        <w:t xml:space="preserve"> and identified on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hereto, (ii) governing any Indebtedness in respect of the Senior Notes, the Permitted Debt (to the extent that such undertaking in any Permitted Debt is no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0" w:name="page171"/>
    <w:bookmarkEnd w:id="170"/>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restrictive than the corresponding terms of the Senior Notes) and any renewals, extensions or refundings thereof, (iii) governing specific property to be sold pursuant to an executed agreement with respect to an asset sale permitted hereunder, (iv) constituting a customary restriction on assignment, subletting, or other transfer contained in Leases, licenses, franchises and other similar agreements entered into in the ordinary course of business or otherwise creating a Permitted Lien, (v) effected in connection with a Qualified Receivables Financing (provided, however, that such restrictions apply only to such Receivables Subsidiary) or (vi) imposed on any Special Purpose Producer in connection with any Indebtedness permitted by </w:t>
      </w:r>
      <w:r>
        <w:rPr>
          <w:rFonts w:ascii="Times New Roman" w:cs="Times New Roman" w:eastAsia="Times New Roman" w:hAnsi="Times New Roman"/>
          <w:sz w:val="21"/>
          <w:szCs w:val="21"/>
          <w:u w:val="single" w:color="auto"/>
          <w:color w:val="auto"/>
        </w:rPr>
        <w:t>Section 7.15(xix)</w:t>
      </w:r>
      <w:r>
        <w:rPr>
          <w:rFonts w:ascii="Times New Roman" w:cs="Times New Roman" w:eastAsia="Times New Roman" w:hAnsi="Times New Roman"/>
          <w:sz w:val="21"/>
          <w:szCs w:val="21"/>
          <w:color w:val="auto"/>
        </w:rPr>
        <w:t xml:space="preserve"> to the extent customary for financings of such type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restriction referred to in clauses (iii) or (iv) is limited to the property or asset subject to such sale, Lease, license, franchise or other similar agreement or Permitted Lien, as the case may be).</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the maximum amount of Liens that may be created pursuant to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shall not be deemed to be exceeded with respect to any outstanding Liens due solely to the result of fluctuations in the exchange rates of currencies or changes in GAAP.</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7.18 </w:t>
      </w:r>
      <w:r>
        <w:rPr>
          <w:rFonts w:ascii="Times New Roman" w:cs="Times New Roman" w:eastAsia="Times New Roman" w:hAnsi="Times New Roman"/>
          <w:sz w:val="22"/>
          <w:szCs w:val="22"/>
          <w:color w:val="000000"/>
        </w:rPr>
        <w:t>Investments. None of the Loan Parties will, or will permit any of its Restricted Subsidiaries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directly or indirectly, (a) make or permit to remain outstanding any advances, loans, accounts receivable (other than (x) accounts receivable arising in the ordinary course of business of such Loan Party or Restricted Subsidiary and (y) accounts receivable owing to any Loan Party or Restricted Subsidiary from any Unrestricted Subsidiary for management or other services or other overhead or shared expenses allocated in the ordinary course of business provided by such Loan Party or Restricted Subsidiary to such Unrestricted Subsidiary) or other extensions of credit (excluding, however, accrued and unpaid interest in respect of any advance, loan or other extension of credit) or capital contributions to (by means of transfers of property to others, or payments for property or services for the account or use of others, or otherwise) any Person (other than any Loan Party), (b) purchase or own any stocks, bonds, notes, debentures or other securities (including, without limitation, any interests in any limited liability company, partnership, joint venture or any similar enterprise) of, any Person (other than a Loan Party), or (c) purchase or acquire (in one transaction or a series of transactions) assets of another Person (other than any Loan Party) that constitute a business unit or all or a substantial part of the business of, such Person (all such transactions referred to in clauses (a), (b) and (c) being herein called “</w:t>
      </w:r>
      <w:r>
        <w:rPr>
          <w:rFonts w:ascii="Times New Roman" w:cs="Times New Roman" w:eastAsia="Times New Roman" w:hAnsi="Times New Roman"/>
          <w:sz w:val="22"/>
          <w:szCs w:val="22"/>
          <w:u w:val="single" w:color="auto"/>
          <w:color w:val="000000"/>
        </w:rPr>
        <w:t>Investments</w:t>
      </w:r>
      <w:r>
        <w:rPr>
          <w:rFonts w:ascii="Times New Roman" w:cs="Times New Roman" w:eastAsia="Times New Roman" w:hAnsi="Times New Roman"/>
          <w:sz w:val="22"/>
          <w:szCs w:val="22"/>
          <w:color w:val="000000"/>
        </w:rPr>
        <w:t>”),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-2002790</wp:posOffset>
            </wp:positionV>
            <wp:extent cx="859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ind w:left="1720" w:hanging="416"/>
        <w:spacing w:after="0"/>
        <w:tabs>
          <w:tab w:leader="none" w:pos="1720"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cash, Cash Equivalents and marketable securities;</w:t>
      </w:r>
    </w:p>
    <w:p>
      <w:pPr>
        <w:spacing w:after="0" w:line="195"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882"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Investments set forth on </w:t>
      </w:r>
      <w:r>
        <w:rPr>
          <w:rFonts w:ascii="Times New Roman" w:cs="Times New Roman" w:eastAsia="Times New Roman" w:hAnsi="Times New Roman"/>
          <w:sz w:val="22"/>
          <w:szCs w:val="22"/>
          <w:u w:val="single" w:color="auto"/>
          <w:color w:val="auto"/>
        </w:rPr>
        <w:t>Schedule 7.18</w:t>
      </w:r>
      <w:r>
        <w:rPr>
          <w:rFonts w:ascii="Times New Roman" w:cs="Times New Roman" w:eastAsia="Times New Roman" w:hAnsi="Times New Roman"/>
          <w:sz w:val="22"/>
          <w:szCs w:val="22"/>
          <w:color w:val="auto"/>
        </w:rPr>
        <w:t xml:space="preserve"> and any modification, replacement, renewal or extension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the Investment outstanding on the Amendment No.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is not increased except pursuant to the terms of such Investment or as otherwise permitted by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56"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receivables owing to the Borrower or any of its Restricted Subsidiaries, including receivables from and advances to suppliers, if created, acquired or made in the ordinary course of business and payable or dischargeable in accordance with customary trade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1" w:name="page172"/>
    <w:bookmarkEnd w:id="171"/>
    <w:p>
      <w:pPr>
        <w:jc w:val="both"/>
        <w:ind w:left="660" w:firstLine="644"/>
        <w:spacing w:after="0" w:line="257" w:lineRule="auto"/>
        <w:tabs>
          <w:tab w:leader="none" w:pos="1907"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loans and advances to officers, directors, employees, consultants and members of management (including for travel, entertainment, relocation and analogous business expenses) in an aggregate amount not to exceed $5,000,000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loans and advances shall comply with all applicable Laws;</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779"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Investments (including debt obligations) (i) received in connection with the bankruptcy and reorganization of suppliers and customers in settlement of delinquent obligations of such suppliers and customers, (ii) received in connection with the settlement of other disputes with customers and suppliers, and (iii) otherwise made in customers and suppliers in an aggregate amount not to exceed $100,000,000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compliance with this clause (iii), the amount of any Investment shall be the fair market value of the amount invested (measured at the time made), without adjustment for subsequent changes in the value of such Investment, less any amount repaid, returned, distributed or otherwise received in cash in respect of such Investment, whether as a return of capital, interest, dividend or otherwise;</w:t>
      </w:r>
    </w:p>
    <w:p>
      <w:pPr>
        <w:spacing w:after="0" w:line="186" w:lineRule="exact"/>
        <w:rPr>
          <w:rFonts w:ascii="Times New Roman" w:cs="Times New Roman" w:eastAsia="Times New Roman" w:hAnsi="Times New Roman"/>
          <w:sz w:val="22"/>
          <w:szCs w:val="22"/>
          <w:color w:val="010000"/>
        </w:rPr>
      </w:pPr>
    </w:p>
    <w:p>
      <w:pPr>
        <w:ind w:left="2120" w:hanging="816"/>
        <w:spacing w:after="0"/>
        <w:tabs>
          <w:tab w:leader="none" w:pos="2120"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they constitute Investments, (A) Indebtedness not prohibited by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010000"/>
        </w:rPr>
      </w:pPr>
    </w:p>
    <w:p>
      <w:pPr>
        <w:ind w:left="1020" w:hanging="364"/>
        <w:spacing w:after="0"/>
        <w:tabs>
          <w:tab w:leader="none" w:pos="10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not prohibited by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other than clause (xii) thereof, (C) Liens not prohibited by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not prohibited by </w:t>
      </w:r>
      <w:r>
        <w:rPr>
          <w:rFonts w:ascii="Times New Roman" w:cs="Times New Roman" w:eastAsia="Times New Roman" w:hAnsi="Times New Roman"/>
          <w:sz w:val="21"/>
          <w:szCs w:val="21"/>
          <w:u w:val="single" w:color="auto"/>
          <w:color w:val="auto"/>
        </w:rPr>
        <w:t>Section 7.19</w:t>
      </w:r>
      <w:r>
        <w:rPr>
          <w:rFonts w:ascii="Times New Roman" w:cs="Times New Roman" w:eastAsia="Times New Roman" w:hAnsi="Times New Roman"/>
          <w:sz w:val="21"/>
          <w:szCs w:val="21"/>
          <w:color w:val="auto"/>
        </w:rPr>
        <w:t xml:space="preserve">, or (E) Dispositions permitted by </w:t>
      </w:r>
      <w:r>
        <w:rPr>
          <w:rFonts w:ascii="Times New Roman" w:cs="Times New Roman" w:eastAsia="Times New Roman" w:hAnsi="Times New Roman"/>
          <w:sz w:val="21"/>
          <w:szCs w:val="21"/>
          <w:u w:val="single" w:color="auto"/>
          <w:color w:val="auto"/>
        </w:rPr>
        <w:t>Section 7.24(vii)</w:t>
      </w:r>
      <w:r>
        <w:rPr>
          <w:rFonts w:ascii="Times New Roman" w:cs="Times New Roman" w:eastAsia="Times New Roman" w:hAnsi="Times New Roman"/>
          <w:sz w:val="21"/>
          <w:szCs w:val="21"/>
          <w:u w:val="single" w:color="auto"/>
          <w:color w:val="FF0000"/>
          <w:strike w:val="1"/>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or 7.24(vii)</w:t>
      </w:r>
    </w:p>
    <w:p>
      <w:pPr>
        <w:spacing w:after="0" w:line="1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FF0000"/>
          <w:strike w:val="1"/>
        </w:rPr>
        <w:t>(c)</w:t>
      </w:r>
      <w:r>
        <w:rPr>
          <w:rFonts w:ascii="Times New Roman" w:cs="Times New Roman" w:eastAsia="Times New Roman" w:hAnsi="Times New Roman"/>
          <w:sz w:val="22"/>
          <w:szCs w:val="22"/>
          <w:color w:val="000000"/>
        </w:rPr>
        <w:t>;</w:t>
      </w:r>
    </w:p>
    <w:p>
      <w:pPr>
        <w:spacing w:after="0" w:line="195"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Acquisitions;</w:t>
      </w:r>
    </w:p>
    <w:p>
      <w:pPr>
        <w:spacing w:after="0" w:line="233" w:lineRule="exact"/>
        <w:rPr>
          <w:rFonts w:ascii="Times New Roman" w:cs="Times New Roman" w:eastAsia="Times New Roman" w:hAnsi="Times New Roman"/>
          <w:sz w:val="22"/>
          <w:szCs w:val="22"/>
          <w:color w:val="010000"/>
        </w:rPr>
      </w:pPr>
    </w:p>
    <w:p>
      <w:pPr>
        <w:ind w:left="660" w:firstLine="644"/>
        <w:spacing w:after="0" w:line="271" w:lineRule="auto"/>
        <w:tabs>
          <w:tab w:leader="none" w:pos="2046"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consisting of extensions of credit or endorsements for collection or deposit in the ordinary course of business;</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866"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Investments consisting of notes, other similar instruments or non-cash consideration received in connection with any disposition not prohibited by </w:t>
      </w:r>
      <w:r>
        <w:rPr>
          <w:rFonts w:ascii="Times New Roman" w:cs="Times New Roman" w:eastAsia="Times New Roman" w:hAnsi="Times New Roman"/>
          <w:sz w:val="22"/>
          <w:szCs w:val="22"/>
          <w:u w:val="single" w:color="auto"/>
          <w:color w:val="auto"/>
        </w:rPr>
        <w:t>Section 7.24</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to the extent financed with Equity Interests of the Company;</w:t>
      </w:r>
    </w:p>
    <w:p>
      <w:pPr>
        <w:spacing w:after="0" w:line="233" w:lineRule="exact"/>
        <w:rPr>
          <w:rFonts w:ascii="Times New Roman" w:cs="Times New Roman" w:eastAsia="Times New Roman" w:hAnsi="Times New Roman"/>
          <w:sz w:val="22"/>
          <w:szCs w:val="22"/>
          <w:color w:val="010000"/>
        </w:rPr>
      </w:pPr>
    </w:p>
    <w:p>
      <w:pPr>
        <w:ind w:left="660" w:firstLine="644"/>
        <w:spacing w:after="0" w:line="271" w:lineRule="auto"/>
        <w:tabs>
          <w:tab w:leader="none" w:pos="1836" w:val="left"/>
        </w:tabs>
        <w:numPr>
          <w:ilvl w:val="1"/>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Swap Contracts entered into in order to manage existing or anticipated interest rate, exchange rate or commodity price risks and not for speculative purposes;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926" w:val="left"/>
        </w:tabs>
        <w:numPr>
          <w:ilvl w:val="1"/>
          <w:numId w:val="1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Investments in (A) one or more Unrestricted Subsidiaries, Restricted Subsidiaries that are not Loan Parties or joint ventures;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such Investments, when combined with the aggregate amount of Guarantees permitted pursuant to </w:t>
      </w:r>
      <w:r>
        <w:rPr>
          <w:rFonts w:ascii="Times New Roman" w:cs="Times New Roman" w:eastAsia="Times New Roman" w:hAnsi="Times New Roman"/>
          <w:sz w:val="21"/>
          <w:szCs w:val="21"/>
          <w:u w:val="single" w:color="auto"/>
          <w:color w:val="auto"/>
        </w:rPr>
        <w:t>Section 7.16(xi)</w:t>
      </w:r>
      <w:r>
        <w:rPr>
          <w:rFonts w:ascii="Times New Roman" w:cs="Times New Roman" w:eastAsia="Times New Roman" w:hAnsi="Times New Roman"/>
          <w:sz w:val="21"/>
          <w:szCs w:val="21"/>
          <w:color w:val="auto"/>
        </w:rPr>
        <w:t>, does not exceed $200,000,000 at any one time outstanding,</w:t>
      </w:r>
    </w:p>
    <w:p>
      <w:pPr>
        <w:spacing w:after="0" w:line="1" w:lineRule="exact"/>
        <w:rPr>
          <w:rFonts w:ascii="Times New Roman" w:cs="Times New Roman" w:eastAsia="Times New Roman" w:hAnsi="Times New Roman"/>
          <w:sz w:val="21"/>
          <w:szCs w:val="21"/>
          <w:color w:val="010000"/>
        </w:rPr>
      </w:pPr>
    </w:p>
    <w:p>
      <w:pPr>
        <w:jc w:val="both"/>
        <w:ind w:left="660" w:hanging="4"/>
        <w:spacing w:after="0" w:line="247" w:lineRule="auto"/>
        <w:tabs>
          <w:tab w:leader="none" w:pos="102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Foreign Subsidiaries by the Borrower and Domestic Subsidiaries that are Restricted Subsidiaries, or in non-wholly owned Foreign Subsidiaries and foreign joint ventures by Foreign Restricted Subsidiaries (together with all other Investments in, and intercompany Indebtedness and Guarantees in respect of, such entities by the Borrower and Domestic Subsidiaries that are Restricted Subsidiaries or by Foreign Restricted Subsidiaries permitted by this clause (xii)(B), </w:t>
      </w:r>
      <w:r>
        <w:rPr>
          <w:rFonts w:ascii="Times New Roman" w:cs="Times New Roman" w:eastAsia="Times New Roman" w:hAnsi="Times New Roman"/>
          <w:sz w:val="22"/>
          <w:szCs w:val="22"/>
          <w:u w:val="single" w:color="auto"/>
          <w:color w:val="auto"/>
        </w:rPr>
        <w:t>Section 7.15(v)(D)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6615430</wp:posOffset>
            </wp:positionH>
            <wp:positionV relativeFrom="paragraph">
              <wp:posOffset>-3653790</wp:posOffset>
            </wp:positionV>
            <wp:extent cx="5187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8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2" w:name="page173"/>
    <w:bookmarkEnd w:id="172"/>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7.16(iii)(C</w:t>
      </w:r>
      <w:r>
        <w:rPr>
          <w:rFonts w:ascii="Times New Roman" w:cs="Times New Roman" w:eastAsia="Times New Roman" w:hAnsi="Times New Roman"/>
          <w:sz w:val="22"/>
          <w:szCs w:val="22"/>
          <w:color w:val="auto"/>
        </w:rPr>
        <w:t>)) in an aggregate amount not to exceed $200,000,000 at any time outstanding and (C) wholly owned Subsidiaries that are not Loan Parties by other wholly owned Subsidiaries that are not Loan Parties;</w:t>
      </w:r>
    </w:p>
    <w:p>
      <w:pPr>
        <w:spacing w:after="0" w:line="158" w:lineRule="exact"/>
        <w:rPr>
          <w:sz w:val="20"/>
          <w:szCs w:val="20"/>
          <w:color w:val="auto"/>
        </w:rPr>
      </w:pPr>
    </w:p>
    <w:p>
      <w:pPr>
        <w:ind w:left="1960" w:hanging="656"/>
        <w:spacing w:after="0"/>
        <w:tabs>
          <w:tab w:leader="none" w:pos="1960" w:val="left"/>
        </w:tabs>
        <w:numPr>
          <w:ilvl w:val="1"/>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advances of payroll payments to employees in the ordinary course of business;</w:t>
      </w:r>
    </w:p>
    <w:p>
      <w:pPr>
        <w:spacing w:after="0" w:line="219"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995" w:val="left"/>
        </w:tabs>
        <w:numPr>
          <w:ilvl w:val="1"/>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of the Borrower and its Restricted Subsidiaries consisting of settlements of overdue debts or accounts with customers and suppliers in bankruptcy in the ordinary course of business;</w:t>
      </w:r>
    </w:p>
    <w:p>
      <w:pPr>
        <w:spacing w:after="0" w:line="171" w:lineRule="exact"/>
        <w:rPr>
          <w:rFonts w:ascii="Times New Roman" w:cs="Times New Roman" w:eastAsia="Times New Roman" w:hAnsi="Times New Roman"/>
          <w:sz w:val="22"/>
          <w:szCs w:val="22"/>
          <w:color w:val="010000"/>
        </w:rPr>
      </w:pPr>
    </w:p>
    <w:p>
      <w:pPr>
        <w:jc w:val="both"/>
        <w:ind w:left="660" w:firstLine="644"/>
        <w:spacing w:after="0" w:line="254" w:lineRule="auto"/>
        <w:tabs>
          <w:tab w:leader="none" w:pos="1946" w:val="left"/>
        </w:tabs>
        <w:numPr>
          <w:ilvl w:val="1"/>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Investments of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 Default shall have occurred and be continuing at the time such Investment is made or would result from the making of such Investment,</w:t>
      </w:r>
    </w:p>
    <w:p>
      <w:pPr>
        <w:spacing w:after="0" w:line="1" w:lineRule="exact"/>
        <w:rPr>
          <w:rFonts w:ascii="Times New Roman" w:cs="Times New Roman" w:eastAsia="Times New Roman" w:hAnsi="Times New Roman"/>
          <w:sz w:val="22"/>
          <w:szCs w:val="22"/>
          <w:color w:val="010000"/>
        </w:rPr>
      </w:pPr>
    </w:p>
    <w:p>
      <w:pPr>
        <w:jc w:val="both"/>
        <w:ind w:left="660" w:hanging="4"/>
        <w:spacing w:after="0" w:line="246" w:lineRule="auto"/>
        <w:tabs>
          <w:tab w:leader="none" w:pos="100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Parties shall be in compliance on a pro forma basis after giving effect to such Investment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such Investment was consummated on the first day of the 12-month period then ended and (C) either (i) at the time of such Investment, the Cash Flow Ratio is less than or equal to 3.00 to 1.00 (such compliance to be determined on the basis of the financial information most recently delivered to the Administrative Agent and the Lenders pursuant to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on a pro forma basis after giving effect to such Investment or (ii) at the time of such Investment, the Cash Flow Ratio is greater than 3.00 to 1.00, but less than or equal to 4.25 to 1.00 (such compliance to be determined on the basis of the financial information most recently delivered to the Administrative Agent and the Lenders pursuant to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on a pro forma basis after giving effect to such Investment and the aggregate amount of Investments made pursuant to this </w:t>
      </w:r>
      <w:r>
        <w:rPr>
          <w:rFonts w:ascii="Times New Roman" w:cs="Times New Roman" w:eastAsia="Times New Roman" w:hAnsi="Times New Roman"/>
          <w:sz w:val="22"/>
          <w:szCs w:val="22"/>
          <w:u w:val="single" w:color="auto"/>
          <w:color w:val="auto"/>
        </w:rPr>
        <w:t>Section 7.18(xv)(C)(ii)</w:t>
      </w:r>
      <w:r>
        <w:rPr>
          <w:rFonts w:ascii="Times New Roman" w:cs="Times New Roman" w:eastAsia="Times New Roman" w:hAnsi="Times New Roman"/>
          <w:sz w:val="22"/>
          <w:szCs w:val="22"/>
          <w:color w:val="auto"/>
        </w:rPr>
        <w:t xml:space="preserve"> and not repaid or otherwise returned, together with the aggregate amount of Restricted Payments made pursuant to </w:t>
      </w:r>
      <w:r>
        <w:rPr>
          <w:rFonts w:ascii="Times New Roman" w:cs="Times New Roman" w:eastAsia="Times New Roman" w:hAnsi="Times New Roman"/>
          <w:sz w:val="22"/>
          <w:szCs w:val="22"/>
          <w:u w:val="single" w:color="auto"/>
          <w:color w:val="auto"/>
        </w:rPr>
        <w:t>Section 7.19(vii)(C)(ii),</w:t>
      </w:r>
      <w:r>
        <w:rPr>
          <w:rFonts w:ascii="Times New Roman" w:cs="Times New Roman" w:eastAsia="Times New Roman" w:hAnsi="Times New Roman"/>
          <w:sz w:val="22"/>
          <w:szCs w:val="22"/>
          <w:color w:val="auto"/>
        </w:rPr>
        <w:t xml:space="preserve"> in each case, after the Amendment No. 3 Effective Date, shall not exceed the sum of (a) $600 million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net proceeds from any sale or issuance of Equity Interests by the Company to any Person (other than the Company or any of its Restricted Subsidiaries) and the amount of Permitted Convertible / Exchange Indebtedness of the Company that is converted or exchanged into Equity Interests, in each case, after January 1, 2024 (with non-cash proceeds to be valued by the Company in good faith)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 amount equal to (1) Cumulative Adjusted Operating Income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1.4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Cumulative Interest Expense;</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Affiliate Payments;</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2103" w:val="left"/>
        </w:tabs>
        <w:numPr>
          <w:ilvl w:val="1"/>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 and (b) any Investment in an entity which is not a Restricted Subsidiary to which the Borrower or a Restricted Subsidiary sells Receivables Financing Assets pursuant to a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3" w:name="page174"/>
    <w:bookmarkEnd w:id="173"/>
    <w:p>
      <w:pPr>
        <w:jc w:val="both"/>
        <w:ind w:left="660" w:firstLine="644"/>
        <w:spacing w:after="0" w:line="257" w:lineRule="auto"/>
        <w:tabs>
          <w:tab w:leader="none" w:pos="2098" w:val="left"/>
        </w:tabs>
        <w:numPr>
          <w:ilvl w:val="0"/>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investments of the Borrower or any Restricted Subsidiary, to the extent not otherwise permitted by clauses (i) through (xvi) of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Investments made pursuant to this clause does not exceed $150,000,000 at any one time outstanding; and</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2075" w:val="left"/>
        </w:tabs>
        <w:numPr>
          <w:ilvl w:val="0"/>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consisting of Permitted Bond Hedge Transactions and/or Permitted Warrant Transactions, together with Investments consisting of the performance of any obligations of the Company or any of its Restricted Subsidiaries thereunder.</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(x)</w:t>
      </w:r>
      <w:r>
        <w:rPr>
          <w:rFonts w:ascii="Times New Roman" w:cs="Times New Roman" w:eastAsia="Times New Roman" w:hAnsi="Times New Roman"/>
          <w:sz w:val="22"/>
          <w:szCs w:val="22"/>
          <w:color w:val="auto"/>
        </w:rPr>
        <w:t xml:space="preserve"> the Borrower or any Restricted Subsidiary may convert the form of any outstanding Investment by the Borrower or such Restricted Subsidiary in any Unrestricted Subsidiary or Restricted Subsidiary that is not a Loan Party that was permitted under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when first made by the Borrower or a Restricted Subsidiary at all times prior to any Responsible Officer having knowledge of the occurrence and continuance of a Default </w:t>
      </w:r>
      <w:r>
        <w:rPr>
          <w:rFonts w:ascii="Times New Roman" w:cs="Times New Roman" w:eastAsia="Times New Roman" w:hAnsi="Times New Roman"/>
          <w:sz w:val="22"/>
          <w:szCs w:val="22"/>
          <w:color w:val="0000FF"/>
        </w:rPr>
        <w:t>and (y) from and after the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No. 5 Effective Date, no Investment in an Unrestricted Subsidiary shall be permitted except pursuant to clauses (ii), (vi) and (xii) of this Section 7.18</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-372745</wp:posOffset>
            </wp:positionV>
            <wp:extent cx="22453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45360" cy="8890"/>
                    </a:xfrm>
                    <a:prstGeom prst="rect">
                      <a:avLst/>
                    </a:prstGeom>
                    <a:noFill/>
                  </pic:spPr>
                </pic:pic>
              </a:graphicData>
            </a:graphic>
          </wp:anchor>
        </w:drawing>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the maximum amount of Investments that may be entered into pursuant to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shall not be deemed to be exceeded with respect to any outstanding Investments due solely to the result of fluctuations in the exchange rates of currencies, appreciation in the value of such Investments or changes in GAAP.</w:t>
      </w:r>
    </w:p>
    <w:p>
      <w:pPr>
        <w:spacing w:after="0" w:line="17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010000"/>
        </w:rPr>
        <w:t xml:space="preserve">Section 7.19 </w:t>
      </w:r>
      <w:r>
        <w:rPr>
          <w:rFonts w:ascii="Times New Roman" w:cs="Times New Roman" w:eastAsia="Times New Roman" w:hAnsi="Times New Roman"/>
          <w:sz w:val="22"/>
          <w:szCs w:val="22"/>
          <w:color w:val="000000"/>
        </w:rPr>
        <w:t>Restricted Payments. None of the Loan Parties will, or will permit any of its Restricted Subsidiaries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directly or indirectly, declare or make or declare any Restricted Payment (other than any Restricted Payment payable (and paid) in Equity Interests of the Company), or incur any obligation (contingent or otherwise) to do so at any time,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-365125</wp:posOffset>
            </wp:positionV>
            <wp:extent cx="12611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660" w:firstLine="644"/>
        <w:spacing w:after="0" w:line="248" w:lineRule="auto"/>
        <w:tabs>
          <w:tab w:leader="none" w:pos="1791"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and the Restricted Subsidiaries may make dividends and other distributions payable solely in the same class of Equity Interests of such Person;</w:t>
      </w:r>
    </w:p>
    <w:p>
      <w:pPr>
        <w:spacing w:after="0" w:line="182"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Affiliate Payments;</w:t>
      </w:r>
    </w:p>
    <w:p>
      <w:pPr>
        <w:spacing w:after="0" w:line="233" w:lineRule="exact"/>
        <w:rPr>
          <w:rFonts w:ascii="Times New Roman" w:cs="Times New Roman" w:eastAsia="Times New Roman" w:hAnsi="Times New Roman"/>
          <w:sz w:val="22"/>
          <w:szCs w:val="22"/>
          <w:color w:val="010000"/>
        </w:rPr>
      </w:pPr>
    </w:p>
    <w:p>
      <w:pPr>
        <w:ind w:left="660" w:firstLine="644"/>
        <w:spacing w:after="0" w:line="271" w:lineRule="auto"/>
        <w:tabs>
          <w:tab w:leader="none" w:pos="1998"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repurchases of Equity Interests in a cashless transaction deemed to occur upon exercise or vesting of restricted stock, stock options or warrants;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87"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 long as no Event of Default shall have occurred and be continuing or would result therefrom, the Company may make Restricted Payments with the proceeds received from the issuance of its Equity Interests (other than the issuance of Equity Interests to a Loan Party or any Subsidiary thereof);</w:t>
      </w:r>
    </w:p>
    <w:p>
      <w:pPr>
        <w:spacing w:after="0" w:line="186" w:lineRule="exact"/>
        <w:rPr>
          <w:rFonts w:ascii="Times New Roman" w:cs="Times New Roman" w:eastAsia="Times New Roman" w:hAnsi="Times New Roman"/>
          <w:sz w:val="22"/>
          <w:szCs w:val="22"/>
          <w:color w:val="010000"/>
        </w:rPr>
      </w:pPr>
    </w:p>
    <w:p>
      <w:pPr>
        <w:ind w:left="660" w:firstLine="644"/>
        <w:spacing w:after="0" w:line="271" w:lineRule="auto"/>
        <w:tabs>
          <w:tab w:leader="none" w:pos="1839"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constituting Restricted Payments, the Borrower and its Restricted Subsidiaries may enter into transactions permitted by </w:t>
      </w:r>
      <w:r>
        <w:rPr>
          <w:rFonts w:ascii="Times New Roman" w:cs="Times New Roman" w:eastAsia="Times New Roman" w:hAnsi="Times New Roman"/>
          <w:sz w:val="22"/>
          <w:szCs w:val="22"/>
          <w:u w:val="single" w:color="auto"/>
          <w:color w:val="auto"/>
        </w:rPr>
        <w:t>Sections 7.23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7.24</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893"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purchases of Receivables Financing Assets pursuant to a Receivables Financing Repurchase Obligation in connection with a Qualified Receivables Financing and the payment or distribution of Receivables Financing Fees;</w:t>
      </w:r>
    </w:p>
    <w:p>
      <w:pPr>
        <w:spacing w:after="0" w:line="157"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904"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other Restricted Payments of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 Default shall have occurred and be continuing at the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4" w:name="page175"/>
    <w:bookmarkEnd w:id="174"/>
    <w:p>
      <w:pPr>
        <w:jc w:val="both"/>
        <w:ind w:left="660"/>
        <w:spacing w:after="0" w:line="258" w:lineRule="auto"/>
        <w:rPr>
          <w:sz w:val="20"/>
          <w:szCs w:val="20"/>
          <w:color w:val="auto"/>
        </w:rPr>
      </w:pPr>
      <w:r>
        <w:rPr>
          <w:rFonts w:ascii="Times New Roman" w:cs="Times New Roman" w:eastAsia="Times New Roman" w:hAnsi="Times New Roman"/>
          <w:sz w:val="21"/>
          <w:szCs w:val="21"/>
          <w:color w:val="auto"/>
        </w:rPr>
        <w:t xml:space="preserve">Restricted Payment is made or would result from the making or declaration of such Restricted Payment, (B) the Loan Parties shall be in compliance on a pro forma basis after giving effect to such Restricted Payment with the Financial Covenants, recomputed as of the last day of the most recently ended Quarter for which financial statements have been delivered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 calculated as if such Restricted Payment was made on the first day of the 12-month period then ended and (C) either (i) at the time of such Restricted Payment, the Cash Flow Ratio is less or equal to than 3.00 to 1.00 (such compliance to be determined on the basis of the financial information most recently delivered to the Administrative Agent and the Lenders pursuant to </w:t>
      </w:r>
      <w:r>
        <w:rPr>
          <w:rFonts w:ascii="Times New Roman" w:cs="Times New Roman" w:eastAsia="Times New Roman" w:hAnsi="Times New Roman"/>
          <w:sz w:val="21"/>
          <w:szCs w:val="21"/>
          <w:u w:val="single" w:color="auto"/>
          <w:color w:val="auto"/>
        </w:rPr>
        <w:t>Section 7.01(a)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on a pro forma basis after giving effect to such Restricted Payment or (ii) at the time of such Restricted Payment, the Cash Flow Ratio is greater than 3.00 to 1.00, but less than or equal to 4.25 to 1.00 (such compliance to be determined on the basis of the financial information most recently delivered to the Administrative Agent and the Lenders pursuant to </w:t>
      </w:r>
      <w:r>
        <w:rPr>
          <w:rFonts w:ascii="Times New Roman" w:cs="Times New Roman" w:eastAsia="Times New Roman" w:hAnsi="Times New Roman"/>
          <w:sz w:val="21"/>
          <w:szCs w:val="21"/>
          <w:u w:val="single" w:color="auto"/>
          <w:color w:val="auto"/>
        </w:rPr>
        <w:t>Section 7.01(a)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on a pro forma basis after giving effect to such Restricted Payment and the aggregate amount of Restricted Payments made pursuant to this </w:t>
      </w:r>
      <w:r>
        <w:rPr>
          <w:rFonts w:ascii="Times New Roman" w:cs="Times New Roman" w:eastAsia="Times New Roman" w:hAnsi="Times New Roman"/>
          <w:sz w:val="21"/>
          <w:szCs w:val="21"/>
          <w:u w:val="single" w:color="auto"/>
          <w:color w:val="auto"/>
        </w:rPr>
        <w:t>Section 7.19(vii)(C)(ii)</w:t>
      </w:r>
      <w:r>
        <w:rPr>
          <w:rFonts w:ascii="Times New Roman" w:cs="Times New Roman" w:eastAsia="Times New Roman" w:hAnsi="Times New Roman"/>
          <w:sz w:val="21"/>
          <w:szCs w:val="21"/>
          <w:color w:val="auto"/>
        </w:rPr>
        <w:t xml:space="preserve">, together with the aggregate amount of Investments made pursuant to </w:t>
      </w:r>
      <w:r>
        <w:rPr>
          <w:rFonts w:ascii="Times New Roman" w:cs="Times New Roman" w:eastAsia="Times New Roman" w:hAnsi="Times New Roman"/>
          <w:sz w:val="21"/>
          <w:szCs w:val="21"/>
          <w:u w:val="single" w:color="auto"/>
          <w:color w:val="auto"/>
        </w:rPr>
        <w:t>Section 7.18(xv)(C)(ii)</w:t>
      </w:r>
      <w:r>
        <w:rPr>
          <w:rFonts w:ascii="Times New Roman" w:cs="Times New Roman" w:eastAsia="Times New Roman" w:hAnsi="Times New Roman"/>
          <w:sz w:val="21"/>
          <w:szCs w:val="21"/>
          <w:color w:val="auto"/>
        </w:rPr>
        <w:t xml:space="preserve"> and not repaid or otherwise returned, in each case, after the Amendment No. 3 Effective Date, shall not exceed the sum of</w:t>
      </w:r>
    </w:p>
    <w:p>
      <w:pPr>
        <w:spacing w:after="0" w:line="11" w:lineRule="exact"/>
        <w:rPr>
          <w:sz w:val="20"/>
          <w:szCs w:val="20"/>
          <w:color w:val="auto"/>
        </w:rPr>
      </w:pPr>
    </w:p>
    <w:p>
      <w:pPr>
        <w:jc w:val="both"/>
        <w:ind w:left="660" w:hanging="4"/>
        <w:spacing w:after="0" w:line="247" w:lineRule="auto"/>
        <w:tabs>
          <w:tab w:leader="none" w:pos="97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$600 million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net proceeds from any sale or issuance of Equity Interests by the Company to any Person (other than the Company or any of its Restricted Subsidiaries) and the amount of Permitted Convertible / Exchange Indebtedness of the Company that is converted or exchanged into Equity Interests, in each case, after January 1, 2024 (with non-cash proceeds to be valued by the Company in good faith)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 amount equal to (1) Cumulative Adjusted Operating Income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1.4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Cumulative Interest Expense;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083" w:val="left"/>
        </w:tabs>
        <w:numPr>
          <w:ilvl w:val="1"/>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 making any payment of premium or other amount in respect of, and otherwise performing its obligations under, any Permitted Bond Hedge Transaction and (B) making any payments or deliveries under Permitted Convertible / Exchange Indebtedness or (ii) (A) delivering shares of the common stock or preferred stock (other than Disqualified Stock) in the Company upon the exercise and settlement or termination of any Permitted Warrant Transaction and (B) making any payment in cash (including by set-off) upon the exercise and settlement or termination of any Permitted Warrant Transaction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w:t>
      </w:r>
    </w:p>
    <w:p>
      <w:pPr>
        <w:spacing w:after="0" w:line="181"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890" w:val="left"/>
        </w:tabs>
        <w:numPr>
          <w:ilvl w:val="1"/>
          <w:numId w:val="20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buybacks, purchases, redemptions, retirements or other acquisitions of Equity Interests of the Company in an aggregate amount not to exceed $50,000,000; and</w:t>
      </w:r>
    </w:p>
    <w:p>
      <w:pPr>
        <w:spacing w:after="0" w:line="171" w:lineRule="exact"/>
        <w:rPr>
          <w:rFonts w:ascii="Times New Roman" w:cs="Times New Roman" w:eastAsia="Times New Roman" w:hAnsi="Times New Roman"/>
          <w:sz w:val="22"/>
          <w:szCs w:val="22"/>
          <w:u w:val="single" w:color="auto"/>
          <w:color w:val="0000FF"/>
        </w:rPr>
      </w:pPr>
    </w:p>
    <w:p>
      <w:pPr>
        <w:jc w:val="both"/>
        <w:ind w:left="660" w:firstLine="644"/>
        <w:spacing w:after="0" w:line="250" w:lineRule="auto"/>
        <w:tabs>
          <w:tab w:leader="none" w:pos="1951" w:val="left"/>
        </w:tabs>
        <w:numPr>
          <w:ilvl w:val="1"/>
          <w:numId w:val="20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other Restricted Payments consisting of the prepayment, repayment, purchase or redemption of other unsecured Indebtedness of the Company and its Restricted Subsidiaries; provided, that at the time of such Restricted Payment, the Cash Flow Ratio is less or equal to than 4.75 to 1.00 (such compliance to be determined on the basis of the financial information most recently delivered to the Administrative Agent and the Lenders pursuant to Section 7.01(a) or (b)) on a pro forma basis after giving effect to such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5" w:name="page176"/>
    <w:bookmarkEnd w:id="175"/>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7.20 </w:t>
      </w:r>
      <w:r>
        <w:rPr>
          <w:rFonts w:ascii="Times New Roman" w:cs="Times New Roman" w:eastAsia="Times New Roman" w:hAnsi="Times New Roman"/>
          <w:sz w:val="22"/>
          <w:szCs w:val="22"/>
          <w:color w:val="000000"/>
        </w:rPr>
        <w:t>Transactions with Affiliates. Other than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7.20</w:t>
      </w:r>
      <w:r>
        <w:rPr>
          <w:rFonts w:ascii="Times New Roman" w:cs="Times New Roman" w:eastAsia="Times New Roman" w:hAnsi="Times New Roman"/>
          <w:sz w:val="22"/>
          <w:szCs w:val="22"/>
          <w:color w:val="000000"/>
        </w:rPr>
        <w:t>, none of the Loan Parties will,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or will permit any of its Restricted Subsidiaries to, effect any transaction with any Affiliate of the Company that is not a Restricted Subsidiary, having a value, or for consideration having a value, in excess of $100,000,000 unless the terms of such transaction are, taken as a whole, no less favorable to the Borrower or such Restricted Subsidiary, as the case may be, than would at the time be obtainable for a comparable transaction in arms-length dealing with an unrelated third party;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this provision shall not apply to (i) overhead and other ordinary course allocations of costs and services on a reasonable basis, (ii) allocations of tax liabilities and other tax-related items among the Borrower and its Affiliates based principally upon the financial income, taxable income, credits and other amounts directly related to the respective parties, to the extent that the share of such liabilities and other items allocable to the Borrower and its Restricted Subsidiaries shall not exceed the amount that such Persons would have been responsible for as a direct taxpayer, (iii) Guarantees of Indebtedness by the Borrower or its Restricted Subsidiaries to the extent such Indebtedness is not prohibited under Section 7.15, any Investment permitted by </w:t>
      </w:r>
      <w:r>
        <w:rPr>
          <w:rFonts w:ascii="Times New Roman" w:cs="Times New Roman" w:eastAsia="Times New Roman" w:hAnsi="Times New Roman"/>
          <w:sz w:val="22"/>
          <w:szCs w:val="22"/>
          <w:u w:val="single" w:color="auto"/>
          <w:color w:val="000000"/>
        </w:rPr>
        <w:t>Section 7.18</w:t>
      </w:r>
      <w:r>
        <w:rPr>
          <w:rFonts w:ascii="Times New Roman" w:cs="Times New Roman" w:eastAsia="Times New Roman" w:hAnsi="Times New Roman"/>
          <w:sz w:val="22"/>
          <w:szCs w:val="22"/>
          <w:color w:val="000000"/>
        </w:rPr>
        <w:t xml:space="preserve"> or any Restricted Payment permitted by </w:t>
      </w:r>
      <w:r>
        <w:rPr>
          <w:rFonts w:ascii="Times New Roman" w:cs="Times New Roman" w:eastAsia="Times New Roman" w:hAnsi="Times New Roman"/>
          <w:sz w:val="22"/>
          <w:szCs w:val="22"/>
          <w:u w:val="single" w:color="auto"/>
          <w:color w:val="000000"/>
        </w:rPr>
        <w:t>Section 7.19</w:t>
      </w:r>
      <w:r>
        <w:rPr>
          <w:rFonts w:ascii="Times New Roman" w:cs="Times New Roman" w:eastAsia="Times New Roman" w:hAnsi="Times New Roman"/>
          <w:sz w:val="22"/>
          <w:szCs w:val="22"/>
          <w:color w:val="000000"/>
        </w:rPr>
        <w:t xml:space="preserve"> or (iv) any transaction effected as part of a Qualified Receivables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-2002790</wp:posOffset>
            </wp:positionV>
            <wp:extent cx="1658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7.21 </w:t>
      </w:r>
      <w:r>
        <w:rPr>
          <w:rFonts w:ascii="Times New Roman" w:cs="Times New Roman" w:eastAsia="Times New Roman" w:hAnsi="Times New Roman"/>
          <w:sz w:val="22"/>
          <w:szCs w:val="22"/>
          <w:color w:val="000000"/>
        </w:rPr>
        <w:t>Amendments of Certain Instruments. None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FF0000"/>
          <w:strike w:val="1"/>
        </w:rPr>
        <w:t>of the Loan Parties will, or will permit any of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FF0000"/>
          <w:strike w:val="1"/>
        </w:rPr>
        <w:t xml:space="preserve">Restricted Subsidiaries to, modify or supplement, or consent to any waiver of any of the provisions of, any Debt Instrument governing any Permitted Debt or any Indebtedness specified in </w:t>
      </w:r>
      <w:r>
        <w:rPr>
          <w:rFonts w:ascii="Times New Roman" w:cs="Times New Roman" w:eastAsia="Times New Roman" w:hAnsi="Times New Roman"/>
          <w:sz w:val="22"/>
          <w:szCs w:val="22"/>
          <w:u w:val="single" w:color="auto"/>
          <w:color w:val="FF0000"/>
          <w:strike w:val="1"/>
        </w:rPr>
        <w:t>Schedule 7.15</w:t>
      </w:r>
      <w:r>
        <w:rPr>
          <w:rFonts w:ascii="Times New Roman" w:cs="Times New Roman" w:eastAsia="Times New Roman" w:hAnsi="Times New Roman"/>
          <w:sz w:val="22"/>
          <w:szCs w:val="22"/>
          <w:color w:val="FF0000"/>
          <w:strike w:val="1"/>
        </w:rPr>
        <w:t xml:space="preserve"> except to the extent, after giving effect thereto, that such Permitted Debt or other Indebtedness could be incurred on such modified or supplemented terms by such Loan Party or Restricted Subsidiary on the effective date of the modification, supplement or consent. In addition, none </w:t>
      </w:r>
      <w:r>
        <w:rPr>
          <w:rFonts w:ascii="Times New Roman" w:cs="Times New Roman" w:eastAsia="Times New Roman" w:hAnsi="Times New Roman"/>
          <w:sz w:val="22"/>
          <w:szCs w:val="22"/>
          <w:color w:val="000000"/>
          <w:strike w:val="1"/>
        </w:rPr>
        <w:t>of the Loan Parties will,</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or will permit any of their Restricted Subsidiaries to, enter into any amendment, or agree to or accept any waiver, of any of the provisions of (a) the certificate of incorporation or organization, by-laws, limited liability company agreement, partnership agreement or any other governing document of any of the Loan Parties or their Restricted Subsidiaries, in each case if doing so would materially adversely affect the rights of the Loan Parties, the Restricted Subsidiaries, the Administrative Agent and the Lenders, or any of them, or (b) any other agreement between any of the Loan Parties or the Restricted Subsidiaries, on the one hand, and any of its Affiliates, on the other hand, which would have a Materially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-1672590</wp:posOffset>
            </wp:positionV>
            <wp:extent cx="22834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7.22 </w:t>
      </w:r>
      <w:r>
        <w:rPr>
          <w:rFonts w:ascii="Times New Roman" w:cs="Times New Roman" w:eastAsia="Times New Roman" w:hAnsi="Times New Roman"/>
          <w:sz w:val="22"/>
          <w:szCs w:val="22"/>
          <w:color w:val="000000"/>
        </w:rPr>
        <w:t>Change in Nature of Business. None of the Loan Parties will, or will permit any of its Restricted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Subsidiaries to, engage in any material line of business substantially different from those lines of business conducted by the Loan Parties and their Restricted Subsidiaries on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xml:space="preserve"> Effective Date or any business reasonably related or incidental thereto, other than reasonable extensions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-527050</wp:posOffset>
            </wp:positionV>
            <wp:extent cx="1844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010000"/>
        </w:rPr>
        <w:t xml:space="preserve">Section 7.23 </w:t>
      </w:r>
      <w:r>
        <w:rPr>
          <w:rFonts w:ascii="Times New Roman" w:cs="Times New Roman" w:eastAsia="Times New Roman" w:hAnsi="Times New Roman"/>
          <w:sz w:val="22"/>
          <w:szCs w:val="22"/>
          <w:color w:val="000000"/>
        </w:rPr>
        <w:t>Fundamental Changes. None of the Loan Parties will, or will permit any of its Restricted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Subsidiaries to, merge, dissolve, liquidate, consolidate with or into another Person, or Dispose of (whether in one transaction or in a series of transactions) all or substantially all of its assets (whether now owned or hereafter acquired) to or in favor of any Person, except that, so long as no Event of Default exists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-519430</wp:posOffset>
            </wp:positionV>
            <wp:extent cx="1522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22730" cy="8890"/>
                    </a:xfrm>
                    <a:prstGeom prst="rect">
                      <a:avLst/>
                    </a:prstGeom>
                    <a:noFill/>
                  </pic:spPr>
                </pic:pic>
              </a:graphicData>
            </a:graphic>
          </wp:anchor>
        </w:drawing>
      </w:r>
    </w:p>
    <w:p>
      <w:pPr>
        <w:jc w:val="both"/>
        <w:ind w:left="660" w:firstLine="644"/>
        <w:spacing w:after="0" w:line="251" w:lineRule="auto"/>
        <w:tabs>
          <w:tab w:leader="none" w:pos="1896"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Restricted Subsidiary may merge, dissolve, liquidate or consolidate with or into (i)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the continuing or surviving Person, (ii)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Party shall be the continuing or surviving Person, or (iii) any one or more other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6" w:name="page177"/>
    <w:bookmarkEnd w:id="176"/>
    <w:p>
      <w:pPr>
        <w:ind w:left="660"/>
        <w:spacing w:after="0" w:line="271" w:lineRule="auto"/>
        <w:rPr>
          <w:sz w:val="20"/>
          <w:szCs w:val="20"/>
          <w:color w:val="auto"/>
        </w:rPr>
      </w:pPr>
      <w:r>
        <w:rPr>
          <w:rFonts w:ascii="Times New Roman" w:cs="Times New Roman" w:eastAsia="Times New Roman" w:hAnsi="Times New Roman"/>
          <w:sz w:val="22"/>
          <w:szCs w:val="22"/>
          <w:color w:val="auto"/>
        </w:rPr>
        <w:t>when any wholly owned Subsidiary is merging with another Subsidiary, such wholly owned Subsidiary shall be the continuing or surviving Person;</w:t>
      </w:r>
    </w:p>
    <w:p>
      <w:pPr>
        <w:spacing w:after="0" w:line="158" w:lineRule="exact"/>
        <w:rPr>
          <w:sz w:val="20"/>
          <w:szCs w:val="20"/>
          <w:color w:val="auto"/>
        </w:rPr>
      </w:pPr>
    </w:p>
    <w:p>
      <w:pPr>
        <w:jc w:val="both"/>
        <w:ind w:left="660" w:firstLine="644"/>
        <w:spacing w:after="0" w:line="257" w:lineRule="auto"/>
        <w:tabs>
          <w:tab w:leader="none" w:pos="1906" w:val="left"/>
        </w:tabs>
        <w:numPr>
          <w:ilvl w:val="1"/>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Loan Party (other than the Company) may Dispose of (whether in one transaction or in a series of transactions) all or substantially all of its assets (whether now owned or hereafter acquired, upon voluntary liquidation or otherwise) to the Company or to another Loan Party;</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871" w:val="left"/>
        </w:tabs>
        <w:numPr>
          <w:ilvl w:val="1"/>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Restricted Subsidiary that is not a Loan Party may Dispose of (whether in one transaction or in a series of transactions) all or substantially all its assets (whether now owned or hereafter acquired, upon voluntary liquidation or otherwise) to (i) another Restricted Subsidiary that is not a Loan Party or (ii) to a Loan Party;</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68" w:lineRule="auto"/>
        <w:tabs>
          <w:tab w:leader="none" w:pos="1851" w:val="left"/>
        </w:tabs>
        <w:numPr>
          <w:ilvl w:val="1"/>
          <w:numId w:val="2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Restricted Subsidiary may merge, dissolve, liquidate or consolidate with or into another Person (subject to clause (i)) or be subject to a transaction resulting in the Disposition of (whether in one transaction or in a series of transactions) all or substantially all of its assets (so long such Disposition is not a Disposition of all or substantially all of the assets of the Borrower and its Restricted Subsidiaries, taken as a whole) (whether now owned or hereafter acquired, upon voluntary liquidation or otherwise) to or in favor of any Person in a transaction permitted under </w:t>
      </w:r>
      <w:r>
        <w:rPr>
          <w:rFonts w:ascii="Times New Roman" w:cs="Times New Roman" w:eastAsia="Times New Roman" w:hAnsi="Times New Roman"/>
          <w:sz w:val="21"/>
          <w:szCs w:val="21"/>
          <w:u w:val="single" w:color="auto"/>
          <w:color w:val="auto"/>
        </w:rPr>
        <w:t>Section 7.24</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jc w:val="both"/>
        <w:ind w:left="660" w:firstLine="644"/>
        <w:spacing w:after="0" w:line="266" w:lineRule="auto"/>
        <w:tabs>
          <w:tab w:leader="none" w:pos="1851" w:val="left"/>
        </w:tabs>
        <w:numPr>
          <w:ilvl w:val="1"/>
          <w:numId w:val="2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Loan Party or any of its Restricted Subsidiaries may merge, dissolve, liquidate or consolidate with or into any other Person or permit any other Person to merge, dissolve, liquidate or consolidate with or into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010000"/>
        </w:rPr>
      </w:pPr>
    </w:p>
    <w:p>
      <w:pPr>
        <w:jc w:val="both"/>
        <w:ind w:left="660" w:hanging="4"/>
        <w:spacing w:after="0" w:line="262" w:lineRule="auto"/>
        <w:tabs>
          <w:tab w:leader="none" w:pos="926"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merger, dissolution, liquidation or consolidation to which a wholly owned Subsidiary of the Company is a party, the Person surviving such merger, dissolution, liquidation or consolidation shall be a wholly owned Subsidiary of the Company, (ii) in the case of any merger, dissolution, liquidation or consolidation to which the Company or an Additional Borrower is a party, the Company or such Additional Borrower is the surviving Person, (iii) in the case of any merger, dissolution, liquidation or consolidation to which any Loan Party is a party, a Loan Party is the surviving Person, and (iv) in the case of a merger, dissolution, liquidation or consolidation to which a Restricted Subsidiary is a party, the Person surviving such merger, dissolution, liquidation or consolidation shall be a Restricted Subsidiary; and</w:t>
      </w:r>
    </w:p>
    <w:p>
      <w:pPr>
        <w:spacing w:after="0" w:line="169"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1"/>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Foreign Restricted Subsidiary with assets of less than $10,000,000 may be dissolved or liquidated.</w:t>
      </w:r>
    </w:p>
    <w:p>
      <w:pPr>
        <w:spacing w:after="0" w:line="22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7.24 </w:t>
      </w:r>
      <w:r>
        <w:rPr>
          <w:rFonts w:ascii="Times New Roman" w:cs="Times New Roman" w:eastAsia="Times New Roman" w:hAnsi="Times New Roman"/>
          <w:sz w:val="22"/>
          <w:szCs w:val="22"/>
          <w:color w:val="000000"/>
        </w:rPr>
        <w:t>Dispositions. None of the Loan Parties will, or will permit any of its Restricted Subsidiaries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make any Disposition or enter into any agreement to make any Disposition,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-193675</wp:posOffset>
            </wp:positionV>
            <wp:extent cx="8743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jc w:val="both"/>
        <w:ind w:left="660" w:firstLine="644"/>
        <w:spacing w:after="0" w:line="252" w:lineRule="auto"/>
        <w:tabs>
          <w:tab w:leader="none" w:pos="1753" w:val="left"/>
        </w:tabs>
        <w:numPr>
          <w:ilvl w:val="0"/>
          <w:numId w:val="2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obsolete, worn out, damaged, surplus or otherwise no longer used or useful machinery, parts, equipment or other assets no longer used or useful in the conduct of the business of the Borrower or any of its Restricted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7" w:name="page178"/>
    <w:bookmarkEnd w:id="177"/>
    <w:p>
      <w:pPr>
        <w:jc w:val="both"/>
        <w:ind w:left="660" w:firstLine="644"/>
        <w:spacing w:after="0" w:line="275" w:lineRule="auto"/>
        <w:tabs>
          <w:tab w:leader="none" w:pos="1788" w:val="left"/>
        </w:tabs>
        <w:numPr>
          <w:ilvl w:val="1"/>
          <w:numId w:val="2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cash, Cash Equivalents, inventory, materials and other current assets in the ordinary course of business (including the sale, transfer or other disposition of overdue or disputed accounts receivable, in connection with the compromise or collection thereof) and the conversion of cash into Cash Equivalents and Cash Equivalents into cash;</w:t>
      </w:r>
    </w:p>
    <w:p>
      <w:pPr>
        <w:spacing w:after="0" w:line="155" w:lineRule="exact"/>
        <w:rPr>
          <w:rFonts w:ascii="Times New Roman" w:cs="Times New Roman" w:eastAsia="Times New Roman" w:hAnsi="Times New Roman"/>
          <w:sz w:val="21"/>
          <w:szCs w:val="21"/>
          <w:color w:val="010000"/>
        </w:rPr>
      </w:pPr>
    </w:p>
    <w:p>
      <w:pPr>
        <w:ind w:left="1840" w:hanging="536"/>
        <w:spacing w:after="0"/>
        <w:tabs>
          <w:tab w:leader="none" w:pos="1840"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property subject to Events of Loss;</w:t>
      </w:r>
    </w:p>
    <w:p>
      <w:pPr>
        <w:spacing w:after="0" w:line="219" w:lineRule="exact"/>
        <w:rPr>
          <w:rFonts w:ascii="Times New Roman" w:cs="Times New Roman" w:eastAsia="Times New Roman" w:hAnsi="Times New Roman"/>
          <w:sz w:val="22"/>
          <w:szCs w:val="22"/>
          <w:color w:val="010000"/>
        </w:rPr>
      </w:pPr>
    </w:p>
    <w:p>
      <w:pPr>
        <w:ind w:left="660" w:firstLine="644"/>
        <w:spacing w:after="0" w:line="284" w:lineRule="auto"/>
        <w:tabs>
          <w:tab w:leader="none" w:pos="1964"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sale or issuance of any Subsidiary’s Equity Interests to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Guarantor shall only issue or sell its Equity Interests to the Borrower or another Guarantor;</w:t>
      </w:r>
    </w:p>
    <w:p>
      <w:pPr>
        <w:spacing w:after="0" w:line="143"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863"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Dispositions by the Borrower to any Subsidiary or any Subsidiary to the Borrower or to the Borrower or another Subsidiary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transferor is a Restricted Subsidiary, the transferee thereof must either be the Borrower or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transferor is the Borrower or a Guarantor, the transferee must be either the Borrower or a Guarantor;</w:t>
      </w:r>
    </w:p>
    <w:p>
      <w:pPr>
        <w:spacing w:after="0" w:line="192" w:lineRule="exact"/>
        <w:rPr>
          <w:rFonts w:ascii="Times New Roman" w:cs="Times New Roman" w:eastAsia="Times New Roman" w:hAnsi="Times New Roman"/>
          <w:sz w:val="22"/>
          <w:szCs w:val="22"/>
          <w:color w:val="010000"/>
        </w:rPr>
      </w:pPr>
    </w:p>
    <w:p>
      <w:pPr>
        <w:ind w:left="1980" w:hanging="676"/>
        <w:spacing w:after="0"/>
        <w:tabs>
          <w:tab w:leader="none" w:pos="1980"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Dispositions that are Investments not prohibited by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or Dispositions that are permitted by</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7.24</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952"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Dispositions of property or assets from a Loan Party to a Subsidiary that is not a Loan Party or to a joint venture of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as of the date of any such Disposition, the aggregate fair market value of property and assets subject to such Dispositions (determined at the time of such Dispositions) pursuant to this clause (vii) from and after the Amendment No. 3 Effective Date does not exceed $250,000,000 in the aggregate;</w:t>
      </w:r>
    </w:p>
    <w:p>
      <w:pPr>
        <w:spacing w:after="0" w:line="192"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80"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Dispositions or Exchanges by the Borrower and the Restricted Subsidiaries to the extent that the Net Cash Proceeds of any such Disposition or Exchange are applied to prepay the Term Loans pursuant to (and to the extent required by)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5" w:lineRule="auto"/>
        <w:tabs>
          <w:tab w:leader="none" w:pos="2006" w:val="left"/>
        </w:tabs>
        <w:numPr>
          <w:ilvl w:val="1"/>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Investments in joint ventures to the extent required by, or made pursuant to buy/sell arrangements between the joint venture parties set forth in joint venture arrangements or similar binding arrangements</w:t>
      </w:r>
    </w:p>
    <w:p>
      <w:pPr>
        <w:spacing w:after="0" w:line="1" w:lineRule="exact"/>
        <w:rPr>
          <w:rFonts w:ascii="Times New Roman" w:cs="Times New Roman" w:eastAsia="Times New Roman" w:hAnsi="Times New Roman"/>
          <w:sz w:val="22"/>
          <w:szCs w:val="22"/>
          <w:color w:val="010000"/>
        </w:rPr>
      </w:pPr>
    </w:p>
    <w:p>
      <w:pPr>
        <w:jc w:val="both"/>
        <w:ind w:left="660" w:hanging="4"/>
        <w:spacing w:after="0" w:line="251" w:lineRule="auto"/>
        <w:tabs>
          <w:tab w:leader="none" w:pos="93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substantially the form as such arrangements are in effect on the Amendment No.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Effective Date and (ii) to the extent that the Net Cash Proceeds of any such Disposition are applied to prepay the Term Loans pursuant to (and to the extent required by)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Unrestricted Subsidiaries;</w:t>
      </w:r>
    </w:p>
    <w:p>
      <w:pPr>
        <w:spacing w:after="0" w:line="219" w:lineRule="exact"/>
        <w:rPr>
          <w:rFonts w:ascii="Times New Roman" w:cs="Times New Roman" w:eastAsia="Times New Roman" w:hAnsi="Times New Roman"/>
          <w:sz w:val="22"/>
          <w:szCs w:val="22"/>
          <w:color w:val="010000"/>
        </w:rPr>
      </w:pPr>
    </w:p>
    <w:p>
      <w:pPr>
        <w:ind w:left="660" w:firstLine="644"/>
        <w:spacing w:after="0" w:line="284" w:lineRule="auto"/>
        <w:tabs>
          <w:tab w:leader="none" w:pos="1952"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Leases, subleases, licenses or sublicenses of assets or properties in the ordinary course of business and which do not materially interfere with the business of the Borrower and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8" w:name="page179"/>
    <w:bookmarkEnd w:id="178"/>
    <w:p>
      <w:pPr>
        <w:ind w:left="660" w:firstLine="644"/>
        <w:spacing w:after="0" w:line="271" w:lineRule="auto"/>
        <w:tabs>
          <w:tab w:leader="none" w:pos="1978"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Intellectual Property and the licensing or sublicensing of Intellectual Property rights and other transfers of Intellectual Property and copyrighted material on commercially reasonable terms;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2045"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Dispositions of assets or properties to the extent that such assets or properties are exchanged for credit against the purchase price of similar replacement assets or properties or the proceeds of such Disposition are reasonably promptly applied to the purchase price of such replacement assets or properties, in each case, in the ordinary course of business;</w:t>
      </w:r>
    </w:p>
    <w:p>
      <w:pPr>
        <w:spacing w:after="0" w:line="17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termination of Swap Contracts or any Permitted Bond Hedge Transactions;</w:t>
      </w:r>
    </w:p>
    <w:p>
      <w:pPr>
        <w:spacing w:after="0" w:line="219" w:lineRule="exact"/>
        <w:rPr>
          <w:rFonts w:ascii="Times New Roman" w:cs="Times New Roman" w:eastAsia="Times New Roman" w:hAnsi="Times New Roman"/>
          <w:sz w:val="22"/>
          <w:szCs w:val="22"/>
          <w:color w:val="010000"/>
        </w:rPr>
      </w:pPr>
    </w:p>
    <w:p>
      <w:pPr>
        <w:ind w:left="1880" w:hanging="576"/>
        <w:spacing w:after="0"/>
        <w:tabs>
          <w:tab w:leader="none" w:pos="1880"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settlement of tort or other litigation claims; and</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53" w:lineRule="auto"/>
        <w:tabs>
          <w:tab w:leader="none" w:pos="2059"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Dispositions of receivables, including current, overdue or disputed accounts receivables, in connection with the collection, compromise or settlement thereof, including through factoring or receivables transfer or sale arrangements or other Dispositions of such receivables at a discount to the face amount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outstanding amount of receivables that may be subject to any factoring or other sale, transfer or other Disposition arrangement shall not exceed $200,000,000 at any time;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with respect to clause (viii) above, any such Disposition or Exchange shall be for fair market value and, with respect to any Disposition (but not any Exchange), at least 75% of the consideration received therefor by the Loan Parties or any such Restricted Subsidiary shall be in the form of cash or Cash Equivalents (including by way of any Monetization Transaction) and (B) after giving effect to any such Disposition or Exchange pursuant to clause (viii), (1) the Loan Parties shall be in compliance on a pro forma basis with the Financial Covenants, recomputed as of the last day of the most recently ended Quarter for which financial statements have been delivered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calculated as if such Disposition occurred on the first day of the 12-month period then ended and (2) no Event of Default shall exist or shall result therefrom.</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7.25 </w:t>
      </w:r>
      <w:r>
        <w:rPr>
          <w:rFonts w:ascii="Times New Roman" w:cs="Times New Roman" w:eastAsia="Times New Roman" w:hAnsi="Times New Roman"/>
          <w:sz w:val="22"/>
          <w:szCs w:val="22"/>
          <w:color w:val="000000"/>
        </w:rPr>
        <w:t>Anti-Corruption Laws and Sanctions. The Borrower will not request any Borrowing or Letter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Credit, and the Borrower shall not use, and shall use its reasonable best efforts to provide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or (B) for the purpose of funding, financing or facilitating any activities, business or transaction of or with any Sanctioned Person, or in any Sanctioned Country, or in any other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-1024890</wp:posOffset>
            </wp:positionV>
            <wp:extent cx="22383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38375" cy="8255"/>
                    </a:xfrm>
                    <a:prstGeom prst="rect">
                      <a:avLst/>
                    </a:prstGeom>
                    <a:noFill/>
                  </pic:spPr>
                </pic:pic>
              </a:graphicData>
            </a:graphic>
          </wp:anchor>
        </w:drawing>
      </w:r>
    </w:p>
    <w:p>
      <w:pPr>
        <w:ind w:left="1740" w:hanging="436"/>
        <w:spacing w:after="0"/>
        <w:tabs>
          <w:tab w:leader="none" w:pos="17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Covenants:</w:t>
      </w:r>
    </w:p>
    <w:p>
      <w:pPr>
        <w:spacing w:after="0" w:line="19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Section 7.26 </w:t>
      </w:r>
      <w:r>
        <w:rPr>
          <w:rFonts w:ascii="Times New Roman" w:cs="Times New Roman" w:eastAsia="Times New Roman" w:hAnsi="Times New Roman"/>
          <w:sz w:val="22"/>
          <w:szCs w:val="22"/>
          <w:color w:val="000000"/>
        </w:rPr>
        <w:t>Adjusted Operating Income to Total Interest Expense. The Company and other Loan Parties will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cause, for each Quarter, the ratio of Annual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-215900</wp:posOffset>
            </wp:positionV>
            <wp:extent cx="31642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79" w:name="page180"/>
    <w:bookmarkEnd w:id="179"/>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Operating Income for the period ending with such Quarter to Annual Total Interest Expense for the period ending with such Quarter to be at least (i) </w:t>
      </w:r>
      <w:r>
        <w:rPr>
          <w:rFonts w:ascii="Times New Roman" w:cs="Times New Roman" w:eastAsia="Times New Roman" w:hAnsi="Times New Roman"/>
          <w:sz w:val="22"/>
          <w:szCs w:val="22"/>
          <w:color w:val="FF0000"/>
          <w:strike w:val="1"/>
        </w:rPr>
        <w:t>2.50</w:t>
      </w:r>
      <w:r>
        <w:rPr>
          <w:rFonts w:ascii="Times New Roman" w:cs="Times New Roman" w:eastAsia="Times New Roman" w:hAnsi="Times New Roman"/>
          <w:sz w:val="22"/>
          <w:szCs w:val="22"/>
          <w:u w:val="single" w:color="auto"/>
          <w:color w:val="0000FF"/>
        </w:rPr>
        <w:t>1.50</w:t>
      </w:r>
      <w:r>
        <w:rPr>
          <w:rFonts w:ascii="Times New Roman" w:cs="Times New Roman" w:eastAsia="Times New Roman" w:hAnsi="Times New Roman"/>
          <w:sz w:val="22"/>
          <w:szCs w:val="22"/>
          <w:color w:val="auto"/>
        </w:rPr>
        <w:t xml:space="preserve"> to 1.00 from and including the Closing Date to and including the Quarter ending on </w:t>
      </w:r>
      <w:r>
        <w:rPr>
          <w:rFonts w:ascii="Times New Roman" w:cs="Times New Roman" w:eastAsia="Times New Roman" w:hAnsi="Times New Roman"/>
          <w:sz w:val="22"/>
          <w:szCs w:val="22"/>
          <w:color w:val="FF0000"/>
          <w:strike w:val="1"/>
        </w:rPr>
        <w:t>June 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2024, (ii) 2.00 to 1.00 for each Quarter from and including the Quarter ending 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September 30,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2024 to and including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Quarter ending on September 30, 2026</w:t>
      </w:r>
      <w:r>
        <w:rPr>
          <w:rFonts w:ascii="Times New Roman" w:cs="Times New Roman" w:eastAsia="Times New Roman" w:hAnsi="Times New Roman"/>
          <w:sz w:val="22"/>
          <w:szCs w:val="22"/>
          <w:u w:val="single" w:color="auto"/>
          <w:color w:val="0000FF"/>
        </w:rPr>
        <w:t>2028</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2.25</w:t>
      </w:r>
      <w:r>
        <w:rPr>
          <w:rFonts w:ascii="Times New Roman" w:cs="Times New Roman" w:eastAsia="Times New Roman" w:hAnsi="Times New Roman"/>
          <w:sz w:val="22"/>
          <w:szCs w:val="22"/>
          <w:u w:val="single" w:color="auto"/>
          <w:color w:val="0000FF"/>
        </w:rPr>
        <w:t>1.75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to 1.00 for each Quarter ending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on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after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September 30,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2026</w:t>
      </w:r>
      <w:r>
        <w:rPr>
          <w:rFonts w:ascii="Times New Roman" w:cs="Times New Roman" w:eastAsia="Times New Roman" w:hAnsi="Times New Roman"/>
          <w:sz w:val="22"/>
          <w:szCs w:val="22"/>
          <w:u w:val="single" w:color="auto"/>
          <w:color w:val="0000FF"/>
        </w:rPr>
        <w:t>December 31, 2028</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010000"/>
        </w:rPr>
        <w:t>Section 7.27</w:t>
      </w:r>
      <w:r>
        <w:rPr>
          <w:rFonts w:ascii="Times New Roman" w:cs="Times New Roman" w:eastAsia="Times New Roman" w:hAnsi="Times New Roman"/>
          <w:sz w:val="22"/>
          <w:szCs w:val="22"/>
          <w:color w:val="auto"/>
        </w:rPr>
        <w:tab/>
        <w:t>Cash Flow Ratio. The Company and other Loan Parties will not permit the Cash Flow Ratio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-21590</wp:posOffset>
            </wp:positionV>
            <wp:extent cx="1136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exceed the following respective ratios (the “</w:t>
      </w:r>
      <w:r>
        <w:rPr>
          <w:rFonts w:ascii="Times New Roman" w:cs="Times New Roman" w:eastAsia="Times New Roman" w:hAnsi="Times New Roman"/>
          <w:sz w:val="22"/>
          <w:szCs w:val="22"/>
          <w:u w:val="single" w:color="auto"/>
          <w:color w:val="auto"/>
        </w:rPr>
        <w:t>Maximum Cash Flow Ratio</w:t>
      </w:r>
      <w:r>
        <w:rPr>
          <w:rFonts w:ascii="Times New Roman" w:cs="Times New Roman" w:eastAsia="Times New Roman" w:hAnsi="Times New Roman"/>
          <w:sz w:val="22"/>
          <w:szCs w:val="22"/>
          <w:color w:val="auto"/>
        </w:rPr>
        <w:t>”) at any time during the following respective periods:</w:t>
      </w:r>
    </w:p>
    <w:p>
      <w:pPr>
        <w:spacing w:after="0" w:line="7" w:lineRule="exact"/>
        <w:rPr>
          <w:sz w:val="20"/>
          <w:szCs w:val="20"/>
          <w:color w:val="auto"/>
        </w:rPr>
      </w:pPr>
    </w:p>
    <w:p>
      <w:pPr>
        <w:ind w:left="3560"/>
        <w:spacing w:after="0"/>
        <w:tabs>
          <w:tab w:leader="none" w:pos="7460" w:val="left"/>
        </w:tabs>
        <w:rPr>
          <w:sz w:val="20"/>
          <w:szCs w:val="20"/>
          <w:color w:val="auto"/>
        </w:rPr>
      </w:pPr>
      <w:r>
        <w:rPr>
          <w:rFonts w:ascii="Times New Roman" w:cs="Times New Roman" w:eastAsia="Times New Roman" w:hAnsi="Times New Roman"/>
          <w:sz w:val="22"/>
          <w:szCs w:val="22"/>
          <w:u w:val="single" w:color="auto"/>
          <w:color w:val="auto"/>
        </w:rPr>
        <w:t>Period</w:t>
      </w:r>
      <w:r>
        <w:rPr>
          <w:sz w:val="20"/>
          <w:szCs w:val="20"/>
          <w:color w:val="auto"/>
        </w:rPr>
        <w:tab/>
      </w:r>
      <w:r>
        <w:rPr>
          <w:rFonts w:ascii="Times New Roman" w:cs="Times New Roman" w:eastAsia="Times New Roman" w:hAnsi="Times New Roman"/>
          <w:sz w:val="22"/>
          <w:szCs w:val="22"/>
          <w:u w:val="single" w:color="auto"/>
          <w:color w:val="auto"/>
        </w:rPr>
        <w:t>Ratio</w:t>
      </w:r>
    </w:p>
    <w:p>
      <w:pPr>
        <w:sectPr>
          <w:pgSz w:w="11900" w:h="16838" w:orient="portrait"/>
          <w:cols w:equalWidth="0" w:num="1">
            <w:col w:w="11240"/>
          </w:cols>
          <w:pgMar w:left="320" w:top="1287" w:right="339" w:bottom="1440" w:gutter="0" w:footer="0" w:header="0"/>
        </w:sectPr>
      </w:pPr>
    </w:p>
    <w:p>
      <w:pPr>
        <w:spacing w:after="0" w:line="152" w:lineRule="exact"/>
        <w:rPr>
          <w:sz w:val="20"/>
          <w:szCs w:val="20"/>
          <w:color w:val="auto"/>
        </w:rPr>
      </w:pPr>
    </w:p>
    <w:p>
      <w:pPr>
        <w:ind w:left="2020" w:right="380" w:hanging="631"/>
        <w:spacing w:after="0" w:line="271" w:lineRule="auto"/>
        <w:rPr>
          <w:sz w:val="20"/>
          <w:szCs w:val="20"/>
          <w:color w:val="auto"/>
        </w:rPr>
      </w:pPr>
      <w:r>
        <w:rPr>
          <w:rFonts w:ascii="Times New Roman" w:cs="Times New Roman" w:eastAsia="Times New Roman" w:hAnsi="Times New Roman"/>
          <w:sz w:val="22"/>
          <w:szCs w:val="22"/>
          <w:color w:val="auto"/>
        </w:rPr>
        <w:t>From and including the Closing Date to and including December 31, 2018</w:t>
      </w:r>
    </w:p>
    <w:p>
      <w:pPr>
        <w:spacing w:after="0" w:line="212" w:lineRule="exact"/>
        <w:rPr>
          <w:sz w:val="20"/>
          <w:szCs w:val="20"/>
          <w:color w:val="auto"/>
        </w:rPr>
      </w:pPr>
    </w:p>
    <w:p>
      <w:pPr>
        <w:ind w:left="2020" w:right="460" w:hanging="631"/>
        <w:spacing w:after="0" w:line="271" w:lineRule="auto"/>
        <w:rPr>
          <w:sz w:val="20"/>
          <w:szCs w:val="20"/>
          <w:color w:val="auto"/>
        </w:rPr>
      </w:pPr>
      <w:r>
        <w:rPr>
          <w:rFonts w:ascii="Times New Roman" w:cs="Times New Roman" w:eastAsia="Times New Roman" w:hAnsi="Times New Roman"/>
          <w:sz w:val="22"/>
          <w:szCs w:val="22"/>
          <w:color w:val="auto"/>
        </w:rPr>
        <w:t>From and including January 1, 2019 to and including December 31, 2019</w:t>
      </w:r>
    </w:p>
    <w:p>
      <w:pPr>
        <w:spacing w:after="0" w:line="212" w:lineRule="exact"/>
        <w:rPr>
          <w:sz w:val="20"/>
          <w:szCs w:val="20"/>
          <w:color w:val="auto"/>
        </w:rPr>
      </w:pPr>
    </w:p>
    <w:p>
      <w:pPr>
        <w:ind w:left="2020" w:right="460" w:hanging="631"/>
        <w:spacing w:after="0" w:line="271" w:lineRule="auto"/>
        <w:rPr>
          <w:sz w:val="20"/>
          <w:szCs w:val="20"/>
          <w:color w:val="auto"/>
        </w:rPr>
      </w:pPr>
      <w:r>
        <w:rPr>
          <w:rFonts w:ascii="Times New Roman" w:cs="Times New Roman" w:eastAsia="Times New Roman" w:hAnsi="Times New Roman"/>
          <w:sz w:val="22"/>
          <w:szCs w:val="22"/>
          <w:color w:val="auto"/>
        </w:rPr>
        <w:t>From and including January 1, 2020 to and including December 31, 2020</w:t>
      </w:r>
    </w:p>
    <w:p>
      <w:pPr>
        <w:spacing w:after="0" w:line="212" w:lineRule="exact"/>
        <w:rPr>
          <w:sz w:val="20"/>
          <w:szCs w:val="20"/>
          <w:color w:val="auto"/>
        </w:rPr>
      </w:pPr>
    </w:p>
    <w:p>
      <w:pPr>
        <w:ind w:left="2020" w:right="460" w:hanging="631"/>
        <w:spacing w:after="0" w:line="271" w:lineRule="auto"/>
        <w:rPr>
          <w:sz w:val="20"/>
          <w:szCs w:val="20"/>
          <w:color w:val="auto"/>
        </w:rPr>
      </w:pPr>
      <w:r>
        <w:rPr>
          <w:rFonts w:ascii="Times New Roman" w:cs="Times New Roman" w:eastAsia="Times New Roman" w:hAnsi="Times New Roman"/>
          <w:sz w:val="22"/>
          <w:szCs w:val="22"/>
          <w:color w:val="auto"/>
        </w:rPr>
        <w:t>From and including January 1, 2021 to and including December 31, 2021</w:t>
      </w:r>
    </w:p>
    <w:p>
      <w:pPr>
        <w:spacing w:after="0" w:line="212" w:lineRule="exact"/>
        <w:rPr>
          <w:sz w:val="20"/>
          <w:szCs w:val="20"/>
          <w:color w:val="auto"/>
        </w:rPr>
      </w:pPr>
    </w:p>
    <w:p>
      <w:pPr>
        <w:ind w:left="1380" w:right="140"/>
        <w:spacing w:after="0" w:line="271" w:lineRule="auto"/>
        <w:rPr>
          <w:sz w:val="20"/>
          <w:szCs w:val="20"/>
          <w:color w:val="auto"/>
        </w:rPr>
      </w:pPr>
      <w:r>
        <w:rPr>
          <w:rFonts w:ascii="Times New Roman" w:cs="Times New Roman" w:eastAsia="Times New Roman" w:hAnsi="Times New Roman"/>
          <w:sz w:val="22"/>
          <w:szCs w:val="22"/>
          <w:color w:val="auto"/>
        </w:rPr>
        <w:t>From and including January 1, 2022 to but excluding the Amendment No. 3 Effective Date</w:t>
      </w:r>
    </w:p>
    <w:p>
      <w:pPr>
        <w:spacing w:after="0" w:line="212" w:lineRule="exact"/>
        <w:rPr>
          <w:sz w:val="20"/>
          <w:szCs w:val="20"/>
          <w:color w:val="auto"/>
        </w:rPr>
      </w:pPr>
    </w:p>
    <w:p>
      <w:pPr>
        <w:ind w:left="1380" w:right="540"/>
        <w:spacing w:after="0" w:line="271" w:lineRule="auto"/>
        <w:rPr>
          <w:sz w:val="20"/>
          <w:szCs w:val="20"/>
          <w:color w:val="auto"/>
        </w:rPr>
      </w:pPr>
      <w:r>
        <w:rPr>
          <w:rFonts w:ascii="Times New Roman" w:cs="Times New Roman" w:eastAsia="Times New Roman" w:hAnsi="Times New Roman"/>
          <w:sz w:val="22"/>
          <w:szCs w:val="22"/>
          <w:color w:val="auto"/>
        </w:rPr>
        <w:t>From and including the Amendment No. 3 Effective Date to and including March 31, 2026</w:t>
      </w:r>
    </w:p>
    <w:p>
      <w:pPr>
        <w:spacing w:after="0" w:line="2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After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6.00 to 1.00</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5.75 to 1.00</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5.50 to 1.00</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5.25 to 1.00</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5.00 to 1.00</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5.75 to 1.00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5.50 to 1.00;</w:t>
      </w:r>
    </w:p>
    <w:p>
      <w:pPr>
        <w:spacing w:after="0" w:line="200" w:lineRule="exact"/>
        <w:rPr>
          <w:sz w:val="20"/>
          <w:szCs w:val="20"/>
          <w:color w:val="auto"/>
        </w:rPr>
      </w:pPr>
    </w:p>
    <w:p>
      <w:pPr>
        <w:sectPr>
          <w:pgSz w:w="11900" w:h="16838" w:orient="portrait"/>
          <w:cols w:equalWidth="0" w:num="2">
            <w:col w:w="6440" w:space="720"/>
            <w:col w:w="4080"/>
          </w:cols>
          <w:pgMar w:left="320" w:top="1287" w:right="339" w:bottom="1440" w:gutter="0" w:footer="0" w:header="0"/>
          <w:type w:val="continuous"/>
        </w:sectPr>
      </w:pP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the Borrower or any Restricted Subsidiary consummates any Leveraging Acquisition at any time following the Closing Date, the applicable Maximum Cash Flow Ratio shall be increased from the amount in effect at such time (taking into account any increases resulting from Leveraging Acquisitions consummated during the four Quarters prior thereto) by an amount equal to the lesser of (i) the Incremental Leveraging Amount and (ii) 0.50 to 1.00, during the four Quarters immediately following the consummation of such Leveraging Acquisition (commencing with the Quarter in which such Leveraging Acquisition is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Maximum Cash Flow Ratio be greater than 6.00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type w:val="continuous"/>
        </w:sectPr>
      </w:pPr>
    </w:p>
    <w:bookmarkStart w:id="180" w:name="page181"/>
    <w:bookmarkEnd w:id="180"/>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-11430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EVENTS OF DEFAULT AND REMEDIES</w:t>
      </w:r>
    </w:p>
    <w:p>
      <w:pPr>
        <w:spacing w:after="0" w:line="22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8.01</w:t>
      </w:r>
      <w:r>
        <w:rPr>
          <w:sz w:val="20"/>
          <w:szCs w:val="20"/>
          <w:color w:val="auto"/>
        </w:rPr>
        <w:tab/>
      </w:r>
      <w:r>
        <w:rPr>
          <w:rFonts w:ascii="Times New Roman" w:cs="Times New Roman" w:eastAsia="Times New Roman" w:hAnsi="Times New Roman"/>
          <w:sz w:val="21"/>
          <w:szCs w:val="21"/>
          <w:color w:val="auto"/>
        </w:rPr>
        <w:t>Events of Default. Each of the following shall constitute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1042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8" w:lineRule="exact"/>
        <w:rPr>
          <w:sz w:val="20"/>
          <w:szCs w:val="20"/>
          <w:color w:val="auto"/>
        </w:rPr>
      </w:pPr>
    </w:p>
    <w:p>
      <w:pPr>
        <w:jc w:val="both"/>
        <w:ind w:left="660" w:firstLine="644"/>
        <w:spacing w:after="0" w:line="247" w:lineRule="auto"/>
        <w:tabs>
          <w:tab w:leader="none" w:pos="1800"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representation or warranty in this Credit Agreement or any other Loan Document or in any certificate, statement or other document furnished to the Lenders or the Administrative Agent pursuant hereto (including, without limitation, any amendment thereto), or any certification made or deemed to have been made by any Loan Party to any Lender or the Administrative Agent hereunder, shall prove to have been incorrect, or shall be breached, in any material respect when made or deemed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made pursuant to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in respect of the absence of any Default shall not constitute an Event of Default if (i) at the time of such representation, such Default was not known to a Responsible Officer of the Company and (ii) prior to such Default, the absence of which is the subject of such representation, becoming an Event of Default, such Default has been cured or waived in accordance with this Credit Agreement; or</w:t>
      </w:r>
    </w:p>
    <w:p>
      <w:pPr>
        <w:spacing w:after="0" w:line="184" w:lineRule="exact"/>
        <w:rPr>
          <w:rFonts w:ascii="Times New Roman" w:cs="Times New Roman" w:eastAsia="Times New Roman" w:hAnsi="Times New Roman"/>
          <w:sz w:val="22"/>
          <w:szCs w:val="22"/>
          <w:color w:val="010000"/>
        </w:rPr>
      </w:pPr>
    </w:p>
    <w:p>
      <w:pPr>
        <w:jc w:val="both"/>
        <w:ind w:left="660" w:firstLine="644"/>
        <w:spacing w:after="0" w:line="251" w:lineRule="auto"/>
        <w:tabs>
          <w:tab w:leader="none" w:pos="1870"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in the payment when due of any principal of any Revolving Credit Loan, Term Loan, Swingline Loan or any L/C Obligation, default in the deposit when due of funds as Cash Collateral in respect of Swingline Loans or L/C Obligations or default in the payment when due of interest on any Revolving Credit Loan, Term Loan or on any L/C Obligation, or any fee due hereunder or any other amount payable to any Revolving Credit Lender, Term Lender or the Administrative Agent hereunder, and the failure to pay such interest, fee or such other amount within two Business Days after the same becomes due; or</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798"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Default by any of the Loan Parties in the performance or observance of any of its agreements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 xml:space="preserve"> but including </w:t>
      </w:r>
      <w:r>
        <w:rPr>
          <w:rFonts w:ascii="Times New Roman" w:cs="Times New Roman" w:eastAsia="Times New Roman" w:hAnsi="Times New Roman"/>
          <w:sz w:val="22"/>
          <w:szCs w:val="22"/>
          <w:u w:val="single" w:color="auto"/>
          <w:color w:val="auto"/>
        </w:rPr>
        <w:t>Section 7.01(e)</w:t>
      </w:r>
      <w:r>
        <w:rPr>
          <w:rFonts w:ascii="Times New Roman" w:cs="Times New Roman" w:eastAsia="Times New Roman" w:hAnsi="Times New Roman"/>
          <w:sz w:val="22"/>
          <w:szCs w:val="22"/>
          <w:color w:val="auto"/>
        </w:rPr>
        <w:t>); or</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68" w:lineRule="auto"/>
        <w:tabs>
          <w:tab w:leader="none" w:pos="1835" w:val="left"/>
        </w:tabs>
        <w:numPr>
          <w:ilvl w:val="0"/>
          <w:numId w:val="2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Default by any of the Loan Parties in the performance or observance of any of its other agreements herein (other than those specified in </w:t>
      </w:r>
      <w:r>
        <w:rPr>
          <w:rFonts w:ascii="Times New Roman" w:cs="Times New Roman" w:eastAsia="Times New Roman" w:hAnsi="Times New Roman"/>
          <w:sz w:val="21"/>
          <w:szCs w:val="21"/>
          <w:u w:val="single" w:color="auto"/>
          <w:color w:val="auto"/>
        </w:rPr>
        <w:t>Section 8.01(c)</w:t>
      </w:r>
      <w:r>
        <w:rPr>
          <w:rFonts w:ascii="Times New Roman" w:cs="Times New Roman" w:eastAsia="Times New Roman" w:hAnsi="Times New Roman"/>
          <w:sz w:val="21"/>
          <w:szCs w:val="21"/>
          <w:color w:val="auto"/>
        </w:rPr>
        <w:t>) or in any other Loan Document, which shall remain unremedied for 30 days after notice thereof shall have been given to the Company by any Lender or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period shall be fifteen days and no such notice shall be required in the case of a default under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 or</w:t>
      </w:r>
    </w:p>
    <w:p>
      <w:pPr>
        <w:spacing w:after="0" w:line="176" w:lineRule="exact"/>
        <w:rPr>
          <w:rFonts w:ascii="Times New Roman" w:cs="Times New Roman" w:eastAsia="Times New Roman" w:hAnsi="Times New Roman"/>
          <w:sz w:val="21"/>
          <w:szCs w:val="21"/>
          <w:color w:val="010000"/>
        </w:rPr>
      </w:pPr>
    </w:p>
    <w:p>
      <w:pPr>
        <w:jc w:val="both"/>
        <w:ind w:left="660" w:firstLine="644"/>
        <w:spacing w:after="0" w:line="250" w:lineRule="auto"/>
        <w:tabs>
          <w:tab w:leader="none" w:pos="1768"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Indebtedness of any of the Loan Parties (including any Indebtedness hereunder) or any of the Restricted Subsidiaries in an aggregate principal amount of $50,000,000 or more, excluding (i) any Indebtedness owing solely to the Borrower or a Restricted Subsidiary and (ii) any Indebtedness for the deferred purchase price of property or services owed to the Person providing such property or services as to which the Borrower or such Restricted Subsidiary has a good faith basis to believe is not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3" w:right="339" w:bottom="1440" w:gutter="0" w:footer="0" w:header="0"/>
        </w:sectPr>
      </w:pPr>
    </w:p>
    <w:bookmarkStart w:id="181" w:name="page182"/>
    <w:bookmarkEnd w:id="181"/>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and owing and, to the extent then appropriate, is contesting its obligation to pay the same in good faith and by proper proceedings and for which the Borrower or such Restricted Subsidiary has established appropriate reserves (such Indebtedness under clauses (i) and (ii) above herein called “</w:t>
      </w:r>
      <w:r>
        <w:rPr>
          <w:rFonts w:ascii="Times New Roman" w:cs="Times New Roman" w:eastAsia="Times New Roman" w:hAnsi="Times New Roman"/>
          <w:sz w:val="22"/>
          <w:szCs w:val="22"/>
          <w:u w:val="single" w:color="auto"/>
          <w:color w:val="auto"/>
        </w:rPr>
        <w:t>Excluded Indebtedness</w:t>
      </w:r>
      <w:r>
        <w:rPr>
          <w:rFonts w:ascii="Times New Roman" w:cs="Times New Roman" w:eastAsia="Times New Roman" w:hAnsi="Times New Roman"/>
          <w:sz w:val="22"/>
          <w:szCs w:val="22"/>
          <w:color w:val="auto"/>
        </w:rPr>
        <w:t>”), shall (i) become due before stated maturity by the acceleration of the maturity thereof by reason of default or (ii) become due by its terms and shall not be promptly paid or extended; or</w:t>
      </w:r>
    </w:p>
    <w:p>
      <w:pPr>
        <w:spacing w:after="0" w:line="194" w:lineRule="exact"/>
        <w:rPr>
          <w:sz w:val="20"/>
          <w:szCs w:val="20"/>
          <w:color w:val="auto"/>
        </w:rPr>
      </w:pPr>
    </w:p>
    <w:p>
      <w:pPr>
        <w:jc w:val="both"/>
        <w:ind w:left="660" w:firstLine="644"/>
        <w:spacing w:after="0" w:line="263" w:lineRule="auto"/>
        <w:tabs>
          <w:tab w:leader="none" w:pos="1748" w:val="left"/>
        </w:tabs>
        <w:numPr>
          <w:ilvl w:val="1"/>
          <w:numId w:val="2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default under any indenture, credit agreement or loan agreement or other agreement or instrument under which Indebtedness of any of the Loan Parties or any of the Restricted Subsidiaries constituting indebtedness for borrowed money in an aggregate principal amount of $50,000,000 or more is outstanding (other than Excluded Indebtedness), or by which any such Indebtedness is evidenced, shall have occurred and shall continue for a period of time sufficient to permit the holder or holders of any such Indebtedness (or a trustee or agent on its or their behalf) to accelerate the maturity thereof or to enforce any Lien provided for by any such indenture, agreement or instrument, as the case may be, unless such default shall have been permanently waived by the respective holder of such Indebtedness; or</w:t>
      </w:r>
    </w:p>
    <w:p>
      <w:pPr>
        <w:spacing w:after="0" w:line="172" w:lineRule="exact"/>
        <w:rPr>
          <w:rFonts w:ascii="Times New Roman" w:cs="Times New Roman" w:eastAsia="Times New Roman" w:hAnsi="Times New Roman"/>
          <w:sz w:val="21"/>
          <w:szCs w:val="21"/>
          <w:color w:val="010000"/>
        </w:rPr>
      </w:pPr>
    </w:p>
    <w:p>
      <w:pPr>
        <w:jc w:val="both"/>
        <w:ind w:left="660" w:firstLine="644"/>
        <w:spacing w:after="0" w:line="260" w:lineRule="auto"/>
        <w:tabs>
          <w:tab w:leader="none" w:pos="1787" w:val="left"/>
        </w:tabs>
        <w:numPr>
          <w:ilvl w:val="1"/>
          <w:numId w:val="2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Loan Party or any Significant Restricted Subsidiary shall (i) apply for or consent to the appointment of, or the taking of possession by, a receiver, custodian, trustee or liquidator of itself or of all or a substantial part of its property, (ii) admit in writing its inability, or be generally unable, to pay its debts as they become due, (iii) make a general assignment for the benefit of creditors, (iv) be adjudicated as bankrupt or insolvent, (v) commence a voluntary case under any Debtor Relief Law (as now or hereafter in effect), (vi) file a petition seeking to take advantage of any Debtor Relief Law, (vii) acquiesce in writing to, or fail to controvert in a timely and appropriate manner, any petition filed against any of the Loan Parties or any Significant Restricted Subsidiary in any involuntary case under any such Debtor Relief Law, or</w:t>
      </w:r>
    </w:p>
    <w:p>
      <w:pPr>
        <w:spacing w:after="0" w:line="1" w:lineRule="exact"/>
        <w:rPr>
          <w:rFonts w:ascii="Times New Roman" w:cs="Times New Roman" w:eastAsia="Times New Roman" w:hAnsi="Times New Roman"/>
          <w:sz w:val="21"/>
          <w:szCs w:val="21"/>
          <w:color w:val="010000"/>
        </w:rPr>
      </w:pPr>
    </w:p>
    <w:p>
      <w:pPr>
        <w:ind w:left="1140" w:hanging="484"/>
        <w:spacing w:after="0"/>
        <w:tabs>
          <w:tab w:leader="none" w:pos="11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for the purpose of effecting any of the foregoing; or</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15" w:val="left"/>
        </w:tabs>
        <w:numPr>
          <w:ilvl w:val="1"/>
          <w:numId w:val="2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case or other proceeding shall be commenced, without the application, approval or consent of any of the Loan Parties or any Significant Restricted Subsidiary, in any court of competent jurisdiction, seeking the liquidation, reorganization, dissolution, winding up, or composition or readjustment or debts of such Loan Party or Significant Restricted Subsidiary, the appointment of a trustee, receiver, custodian, liquidator or the like of such Loan Party or Significant Restricted Subsidiary or of all or any substantial part of its assets, or any other similar action with respect to such Loan Party or Significant Restricted Subsidiary under any Debtor Relief Law, and such case or proceeding shall continue undismissed, or unstayed and in effect, for any period of 60 consecutive days, or an order for relief against any of the Loan Parties or any Significant Restricted Subsidiary shall be entered in an involuntary case under any Debtor Relief Law (as now or hereafter in effect); or</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30" w:val="left"/>
        </w:tabs>
        <w:numPr>
          <w:ilvl w:val="1"/>
          <w:numId w:val="2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 final and non-appealable judgment for the payment of money in excess of $50,000,000 (to the extent not covered by insurance) shall be rendered against any Loan Party or any Restricted Subsidiary and such judgment shall remain unsatisfied and in effect for any period of 30 consecutive days without a stay of execution or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2" w:name="page183"/>
    <w:bookmarkEnd w:id="182"/>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stay is not provided for by applicable law) without having been satisfied, vacated, discharged or stayed or fully bonded pending appeal or (ii) a final and non-appealable judgment or final and non-appealable judgments for the payment of money are entered by a court or courts of competent jurisdiction against any Loan Party or any Restricted Subsidiary and either (x) an enforcement proceeding shall have been commenced by any creditor upon such judgment or (y) such judgment remains unsatisfied, undischarged, unstayed or unbonded for a period (during which execution shall not be effectively stayed) of 60 days; provided, that, the aggregate of all such judgments exceeds $50,000,000 (to the extent not covered by insurance); or</w:t>
      </w:r>
    </w:p>
    <w:p>
      <w:pPr>
        <w:spacing w:after="0" w:line="180" w:lineRule="exact"/>
        <w:rPr>
          <w:sz w:val="20"/>
          <w:szCs w:val="20"/>
          <w:color w:val="auto"/>
        </w:rPr>
      </w:pPr>
    </w:p>
    <w:p>
      <w:pPr>
        <w:jc w:val="both"/>
        <w:ind w:left="660" w:firstLine="644"/>
        <w:spacing w:after="0" w:line="249" w:lineRule="auto"/>
        <w:tabs>
          <w:tab w:leader="none" w:pos="1761" w:val="left"/>
        </w:tabs>
        <w:numPr>
          <w:ilvl w:val="0"/>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Any Termination Event shall occur; (ii) an application for a minimum funding waiver with respect to any Plan is made; (iii) any Person shall engage in any Prohibited Transaction involving any Plan; (iv) the Company or any ERISA Affiliate is in “default” (as defined in Section 4219(c)(5) of ERISA) with respect to payments to a Multiemployer Plan resulting from the Company’s or any ERISA Affiliate’s complete or partial withdrawal (as described in Section 4203 or 4205 of ERISA) from such Multiemployer Plan; (v) the conditions for imposition of a lien under Section 303(k) of ERISA shall have been met with respect to a Plan; (vi) the Company or any ERISA Affiliate shall fail to pay when due an amount which is payable by it to the PBGC or to a Plan under Title IV of ERISA; or (vii) the assumption of, or any material increase in, the contingent liability of the Company or any Restricted Subsidiary with respect to any post-retirement welfare liability; and any or all of such events described in clauses (i) through (vii) as applicable result in a liability of the Company or ERISA Affiliate in excess of $50,000,000; or</w:t>
      </w:r>
    </w:p>
    <w:p>
      <w:pPr>
        <w:spacing w:after="0" w:line="183" w:lineRule="exact"/>
        <w:rPr>
          <w:rFonts w:ascii="Times New Roman" w:cs="Times New Roman" w:eastAsia="Times New Roman" w:hAnsi="Times New Roman"/>
          <w:sz w:val="22"/>
          <w:szCs w:val="22"/>
          <w:color w:val="010000"/>
        </w:rPr>
      </w:pPr>
    </w:p>
    <w:p>
      <w:pPr>
        <w:jc w:val="both"/>
        <w:ind w:left="660" w:firstLine="644"/>
        <w:spacing w:after="0" w:line="248" w:lineRule="auto"/>
        <w:tabs>
          <w:tab w:leader="none" w:pos="1830" w:val="left"/>
        </w:tabs>
        <w:numPr>
          <w:ilvl w:val="0"/>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Dolan Family Interests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or (ii) Persons controlled by Dolan Family Interests (any such Person, a “Dolan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Family Interest Controlled Person”) (so long as, in the case of this clause (ii), no “person” or “group” (as such terms are used in Sections 13(d) and 14(d) of the Exchange Act) other than the Dolan Family Interests shall beneficially own (within the meaning of Rule 13d-3 (as in effect on the Amendment No. 5 Effective Date) promulgated under the Exchange Act), in the aggregate, more than fifty percent (50%) of the Equity Interests in such Dolan Family Interest Controlled Person(s))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cease at any time to have beneficial ownership (within the meaning of Rule 13d-3 (as in effect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on the Closing Date) promulgated under the Securities Exchange Act of 1934, as amended) of shares of the capital stock of the Company having sufficient votes to elect (or otherwise designate) at such time a majority of the members of the Board of Directors of the Company; or</w:t>
      </w:r>
    </w:p>
    <w:p>
      <w:pPr>
        <w:spacing w:after="0" w:line="198" w:lineRule="exact"/>
        <w:rPr>
          <w:rFonts w:ascii="Times New Roman" w:cs="Times New Roman" w:eastAsia="Times New Roman" w:hAnsi="Times New Roman"/>
          <w:sz w:val="22"/>
          <w:szCs w:val="22"/>
          <w:color w:val="010000"/>
        </w:rPr>
      </w:pPr>
    </w:p>
    <w:p>
      <w:pPr>
        <w:jc w:val="both"/>
        <w:ind w:left="660" w:firstLine="644"/>
        <w:spacing w:after="0" w:line="248" w:lineRule="auto"/>
        <w:tabs>
          <w:tab w:leader="none" w:pos="1890" w:val="left"/>
        </w:tabs>
        <w:numPr>
          <w:ilvl w:val="0"/>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Any of the Loan Parties or any of their respective Affiliates (including any Restricted Subsidiary) institutes any proceedings seeking to establish or any Person obtains a judgment establishing that (i) any provision of the Loan Documents is invalid, not binding or unenforceable or (ii) the Lien created, or purported to be created, by the Loan Documents is not a valid and perfected first priority security interest in the property in which such Lien is created, or purported to be created, pursuant to the Loan Documents or (y) (i) any material provision of the Loan Documents, taken as a whole, ceases to be in full force an effect, (ii) any Lien with respect to a material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3" w:name="page184"/>
    <w:bookmarkEnd w:id="183"/>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Collateral shall ceases to be a valid and perfected first priority security interest in the property in which such Lien is created, or purported to be created, pursuant to the Loan Documents (except as a result of (A) the Administrative Agent no longer having possession of certificates actually delivered to it representing equity interests pledged under any Loan Document, or (B) a UCC filing having lapsed because a UCC continuation statement was not filed in a timely manner (which, in either case, does not arise from a breach by a Loan Party of its obligations under the Loan Documents)) or (iii) the Guaranty by any Guarantor of any of the Obligations shall cease to be in full force and effect (other than in accordance with the terms hereof or thereof).</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8.02</w:t>
      </w:r>
      <w:r>
        <w:rPr>
          <w:sz w:val="20"/>
          <w:szCs w:val="20"/>
          <w:color w:val="auto"/>
        </w:rPr>
        <w:tab/>
      </w:r>
      <w:r>
        <w:rPr>
          <w:rFonts w:ascii="Times New Roman" w:cs="Times New Roman" w:eastAsia="Times New Roman" w:hAnsi="Times New Roman"/>
          <w:sz w:val="21"/>
          <w:szCs w:val="21"/>
          <w:color w:val="auto"/>
        </w:rPr>
        <w:t>Remedies upon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934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52" w:lineRule="auto"/>
        <w:tabs>
          <w:tab w:leader="none" w:pos="1752"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Revolving/Term A Event of Default</w:t>
      </w:r>
      <w:r>
        <w:rPr>
          <w:rFonts w:ascii="Times New Roman" w:cs="Times New Roman" w:eastAsia="Times New Roman" w:hAnsi="Times New Roman"/>
          <w:sz w:val="22"/>
          <w:szCs w:val="22"/>
          <w:color w:val="auto"/>
        </w:rPr>
        <w:t>. If any Revolving/Term A Event of Default occurs and is continuing, the Administrative Agent shall, at the request of, or may, with the consent of, the Required Revolving/Term A Lenders, take any or all of the following actions:</w:t>
      </w:r>
    </w:p>
    <w:p>
      <w:pPr>
        <w:spacing w:after="0" w:line="178" w:lineRule="exact"/>
        <w:rPr>
          <w:sz w:val="20"/>
          <w:szCs w:val="20"/>
          <w:color w:val="auto"/>
        </w:rPr>
      </w:pPr>
    </w:p>
    <w:p>
      <w:pPr>
        <w:jc w:val="both"/>
        <w:ind w:left="660" w:firstLine="644"/>
        <w:spacing w:after="0" w:line="257" w:lineRule="auto"/>
        <w:tabs>
          <w:tab w:leader="none" w:pos="1779"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commitment of each Revolving Credit Lender and each Term A Lender to make Loans and any obligation of (a) the L/C Issuers to make L/C Credit Extensions and (b) the Swingline Lender to make Swingline Loans to be terminated, whereupon such commitments and obligation shall be terminated;</w:t>
      </w:r>
    </w:p>
    <w:p>
      <w:pPr>
        <w:spacing w:after="0" w:line="172"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927"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unpaid principal amount of all outstanding Revolving Credit Loans and Term A Loans, all interest accrued and unpaid thereon, and all other amounts owing or payable to any Revolving Credit Lender or Term A Lender or under any other Loan Document to be immediately due and payable, without presentment, demand, protest or other notice of any kind, all of which are hereby expressly waived by the Borrower;</w:t>
      </w:r>
    </w:p>
    <w:p>
      <w:pPr>
        <w:spacing w:after="0" w:line="176"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2067"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that the Borrower Cash Collateralize the L/C Obligations (in an amount equal to the then Outstanding Amount thereof); and</w:t>
      </w:r>
    </w:p>
    <w:p>
      <w:pPr>
        <w:spacing w:after="0" w:line="157" w:lineRule="exact"/>
        <w:rPr>
          <w:rFonts w:ascii="Times New Roman" w:cs="Times New Roman" w:eastAsia="Times New Roman" w:hAnsi="Times New Roman"/>
          <w:sz w:val="22"/>
          <w:szCs w:val="22"/>
          <w:color w:val="010000"/>
        </w:rPr>
      </w:pPr>
    </w:p>
    <w:p>
      <w:pPr>
        <w:ind w:left="660" w:right="20" w:firstLine="644"/>
        <w:spacing w:after="0" w:line="284" w:lineRule="auto"/>
        <w:tabs>
          <w:tab w:leader="none" w:pos="1846"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on behalf of itself, the Revolving Credit Lenders, the Term A Lenders and the L/C Issuers all rights and remedies available to it and such Lenders and L/C Issuers under the Loan Documents.</w:t>
      </w:r>
    </w:p>
    <w:p>
      <w:pPr>
        <w:spacing w:after="0" w:line="144" w:lineRule="exact"/>
        <w:rPr>
          <w:sz w:val="20"/>
          <w:szCs w:val="20"/>
          <w:color w:val="auto"/>
        </w:rPr>
      </w:pPr>
    </w:p>
    <w:p>
      <w:pPr>
        <w:jc w:val="both"/>
        <w:ind w:firstLine="1304"/>
        <w:spacing w:after="0" w:line="257" w:lineRule="auto"/>
        <w:tabs>
          <w:tab w:leader="none" w:pos="1764"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Event of Default</w:t>
      </w:r>
      <w:r>
        <w:rPr>
          <w:rFonts w:ascii="Times New Roman" w:cs="Times New Roman" w:eastAsia="Times New Roman" w:hAnsi="Times New Roman"/>
          <w:sz w:val="22"/>
          <w:szCs w:val="22"/>
          <w:color w:val="auto"/>
        </w:rPr>
        <w:t>. If any Event of Default (other than a Revolving/Term A Event of Default) occurs and is continuing, the Administrative Agent shall, at the request of, or may, with the consent of, the Required Lenders, take any or all of the following actions:</w:t>
      </w:r>
    </w:p>
    <w:p>
      <w:pPr>
        <w:spacing w:after="0" w:line="173" w:lineRule="exact"/>
        <w:rPr>
          <w:sz w:val="20"/>
          <w:szCs w:val="20"/>
          <w:color w:val="auto"/>
        </w:rPr>
      </w:pPr>
    </w:p>
    <w:p>
      <w:pPr>
        <w:jc w:val="both"/>
        <w:ind w:left="660" w:firstLine="644"/>
        <w:spacing w:after="0" w:line="263" w:lineRule="auto"/>
        <w:tabs>
          <w:tab w:leader="none" w:pos="1740" w:val="left"/>
        </w:tabs>
        <w:numPr>
          <w:ilvl w:val="0"/>
          <w:numId w:val="2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commitment of each Lender to make Loans and any obligation of (a) the L/C Issuers to make L/C Credit Extensions and (b) the Swingline Lender to make Swingline Loans to be terminated, whereupon such commitments and obligations shall be terminated;</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799" w:val="left"/>
        </w:tabs>
        <w:numPr>
          <w:ilvl w:val="0"/>
          <w:numId w:val="2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22"/>
          <w:szCs w:val="22"/>
          <w:color w:val="auto"/>
        </w:rPr>
        <w:t>demand, protest or other notice of any kind, all of which are hereby expressly waived by the Borrower;</w:t>
      </w:r>
    </w:p>
    <w:p>
      <w:pPr>
        <w:spacing w:after="0" w:line="220" w:lineRule="exact"/>
        <w:rPr>
          <w:sz w:val="20"/>
          <w:szCs w:val="20"/>
          <w:color w:val="auto"/>
        </w:rPr>
      </w:pPr>
    </w:p>
    <w:p>
      <w:pPr>
        <w:ind w:left="660" w:right="20" w:firstLine="644"/>
        <w:spacing w:after="0" w:line="271" w:lineRule="auto"/>
        <w:tabs>
          <w:tab w:leader="none" w:pos="2067"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that the Borrower Cash Collateralize the L/C Obligations (in an amount equal to the then Outstanding Amount thereof); and</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871"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on behalf of itself, the Lenders and the L/C Issuers all rights and remedies available to it and such Lenders and L/C Issuers under the Loan Documents;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 actual or deemed entry of an order for relief with respect to the Borrower under the Bankruptcy Code, the obligation of each Lender to make Loans, any obligation of the Swingline Lender to advance Swingline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8.03 </w:t>
      </w:r>
      <w:r>
        <w:rPr>
          <w:rFonts w:ascii="Times New Roman" w:cs="Times New Roman" w:eastAsia="Times New Roman" w:hAnsi="Times New Roman"/>
          <w:sz w:val="22"/>
          <w:szCs w:val="22"/>
          <w:color w:val="000000"/>
        </w:rPr>
        <w:t>Application of Funds. After the exercise of remedies provided for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8.02</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after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000000"/>
        </w:rPr>
        <w:t>Section 8.02</w:t>
      </w:r>
      <w:r>
        <w:rPr>
          <w:rFonts w:ascii="Times New Roman" w:cs="Times New Roman" w:eastAsia="Times New Roman" w:hAnsi="Times New Roman"/>
          <w:sz w:val="22"/>
          <w:szCs w:val="22"/>
          <w:color w:val="000000"/>
        </w:rPr>
        <w:t>), any amounts received on account of the Obligations shall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-520065</wp:posOffset>
            </wp:positionV>
            <wp:extent cx="1398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jc w:val="both"/>
        <w:ind w:left="66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78"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L/C Issuers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7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and interest on the Loans, L/C Borrowings and other Obligations, to the extent due and payable, ratably among the Lenders and the L/C Issuers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L/C Borrowings and amounts owing under Secured Hedge Agreements and Secured Cash Management Agreements, and which have become due and owing, ratably among the Lenders, the L/C Issuers, the Hedge Banks and the Cash Management Banks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5" w:name="page186"/>
    <w:bookmarkEnd w:id="185"/>
    <w:p>
      <w:pPr>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Administrative Agent for the account of the L/C Issuers, to Cash Collateralize that portion of L/C Obligations comprised of the aggregate undrawn amount of Letters of Credit; and</w:t>
      </w:r>
    </w:p>
    <w:p>
      <w:pPr>
        <w:spacing w:after="0" w:line="158"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Company or as otherwise required by Law.</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amounts used to Cash Collateralize the aggregate undrawn amount of Letters of Credit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no amounts received from any Guarantor shall be applied to any Excluded Swap Obligation of such Guarantor.</w:t>
      </w:r>
    </w:p>
    <w:p>
      <w:pPr>
        <w:spacing w:after="0" w:line="16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ADMINISTRATIVE AGENT</w:t>
      </w:r>
    </w:p>
    <w:p>
      <w:pPr>
        <w:spacing w:after="0" w:line="22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9.01 </w:t>
      </w:r>
      <w:r>
        <w:rPr>
          <w:rFonts w:ascii="Times New Roman" w:cs="Times New Roman" w:eastAsia="Times New Roman" w:hAnsi="Times New Roman"/>
          <w:sz w:val="22"/>
          <w:szCs w:val="22"/>
          <w:color w:val="000000"/>
        </w:rPr>
        <w:t>Appointment and Authority. (a) Each of the Lender Parties hereby irrevocably appoints JPMCB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 Parties, and neither the Borrower nor any other Loan Party shall have rights as a third party beneficiary of any of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-853440</wp:posOffset>
            </wp:positionV>
            <wp:extent cx="1661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jc w:val="both"/>
        <w:ind w:firstLine="1304"/>
        <w:spacing w:after="0" w:line="246" w:lineRule="auto"/>
        <w:tabs>
          <w:tab w:leader="none" w:pos="1775" w:val="left"/>
        </w:tabs>
        <w:numPr>
          <w:ilvl w:val="0"/>
          <w:numId w:val="2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Administrative Agent shall also act as the “collateral agent” under the Loan Documents, and each of the Lenders (in its capacities as a Lender, potential Hedge Bank and potential Cash Management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Section 9.02 </w:t>
      </w:r>
      <w:r>
        <w:rPr>
          <w:rFonts w:ascii="Times New Roman" w:cs="Times New Roman" w:eastAsia="Times New Roman" w:hAnsi="Times New Roman"/>
          <w:sz w:val="22"/>
          <w:szCs w:val="22"/>
          <w:color w:val="000000"/>
        </w:rPr>
        <w:t>Administrative Agent Individually. (w) The Person serving as the Administrative Agent hereunder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have the same rights and powers in its capacity as a Lender Party as any other Lender Party and may exercise the same as though it were not the Administrative Agent and the term “</w:t>
      </w:r>
      <w:r>
        <w:rPr>
          <w:rFonts w:ascii="Times New Roman" w:cs="Times New Roman" w:eastAsia="Times New Roman" w:hAnsi="Times New Roman"/>
          <w:sz w:val="22"/>
          <w:szCs w:val="22"/>
          <w:u w:val="single" w:color="auto"/>
          <w:color w:val="000000"/>
        </w:rPr>
        <w:t>Lender Party</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u w:val="single" w:color="auto"/>
          <w:color w:val="000000"/>
        </w:rPr>
        <w:t>Lender Parties</w:t>
      </w:r>
      <w:r>
        <w:rPr>
          <w:rFonts w:ascii="Times New Roman" w:cs="Times New Roman" w:eastAsia="Times New Roman" w:hAnsi="Times New Roman"/>
          <w:sz w:val="22"/>
          <w:szCs w:val="22"/>
          <w:color w:val="000000"/>
        </w:rPr>
        <w:t>” shall, unless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-381635</wp:posOffset>
            </wp:positionV>
            <wp:extent cx="205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6" w:name="page187"/>
    <w:bookmarkEnd w:id="186"/>
    <w:p>
      <w:pPr>
        <w:jc w:val="both"/>
        <w:spacing w:after="0" w:line="248" w:lineRule="auto"/>
        <w:rPr>
          <w:sz w:val="20"/>
          <w:szCs w:val="20"/>
          <w:color w:val="auto"/>
        </w:rPr>
      </w:pPr>
      <w:r>
        <w:rPr>
          <w:rFonts w:ascii="Times New Roman" w:cs="Times New Roman" w:eastAsia="Times New Roman" w:hAnsi="Times New Roman"/>
          <w:sz w:val="22"/>
          <w:szCs w:val="22"/>
          <w:color w:val="auto"/>
        </w:rPr>
        <w:t>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 Parties.</w:t>
      </w:r>
    </w:p>
    <w:p>
      <w:pPr>
        <w:spacing w:after="0" w:line="1" w:lineRule="exact"/>
        <w:rPr>
          <w:sz w:val="20"/>
          <w:szCs w:val="20"/>
          <w:color w:val="auto"/>
        </w:rPr>
      </w:pPr>
    </w:p>
    <w:p>
      <w:pPr>
        <w:jc w:val="both"/>
        <w:ind w:firstLine="1304"/>
        <w:spacing w:after="0" w:line="258" w:lineRule="auto"/>
        <w:tabs>
          <w:tab w:leader="none" w:pos="1881" w:val="left"/>
        </w:tabs>
        <w:numPr>
          <w:ilvl w:val="0"/>
          <w:numId w:val="2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Lender Party understands that the Person serving as Administrative Agent, acting in its individual capacity, and its Affiliates (collectively, the “</w:t>
      </w:r>
      <w:r>
        <w:rPr>
          <w:rFonts w:ascii="Times New Roman" w:cs="Times New Roman" w:eastAsia="Times New Roman" w:hAnsi="Times New Roman"/>
          <w:sz w:val="21"/>
          <w:szCs w:val="21"/>
          <w:u w:val="single" w:color="auto"/>
          <w:color w:val="auto"/>
        </w:rPr>
        <w:t>Agent’s Group</w:t>
      </w:r>
      <w:r>
        <w:rPr>
          <w:rFonts w:ascii="Times New Roman" w:cs="Times New Roman" w:eastAsia="Times New Roman" w:hAnsi="Times New Roman"/>
          <w:sz w:val="21"/>
          <w:szCs w:val="21"/>
          <w:color w:val="auto"/>
        </w:rPr>
        <w:t xml:space="preserve">”) are engaged in a wide range of financial services and businesses (including investment management, financing, securities trading, corporate and investment banking and research) (such services and businesses are collectively referred to in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as “</w:t>
      </w:r>
      <w:r>
        <w:rPr>
          <w:rFonts w:ascii="Times New Roman" w:cs="Times New Roman" w:eastAsia="Times New Roman" w:hAnsi="Times New Roman"/>
          <w:sz w:val="21"/>
          <w:szCs w:val="21"/>
          <w:u w:val="single" w:color="auto"/>
          <w:color w:val="auto"/>
        </w:rPr>
        <w:t>Activities</w:t>
      </w:r>
      <w:r>
        <w:rPr>
          <w:rFonts w:ascii="Times New Roman" w:cs="Times New Roman" w:eastAsia="Times New Roman" w:hAnsi="Times New Roman"/>
          <w:sz w:val="21"/>
          <w:szCs w:val="21"/>
          <w:color w:val="auto"/>
        </w:rPr>
        <w:t>”)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the Borrower, another Loan Party or their respective Affiliates), including trading in or holding long, short or derivative positions in securities, loans or other financial products of one or more of the Loan Parties or their Affiliates. Each Lender Party 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 Parties that are not members of the Agent’s Group. None of the Administrative Agent nor any member of the Agent’s Group shall have any duty to disclose to any Lender Party or use on behalf of the Lender Parties,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Administrative Agent shall deliver or otherwise make available to each Lender Party such documents as are expressly required by any Loan Document to be transmitted by the Administrative Agent to the Lender Parties.</w:t>
      </w:r>
    </w:p>
    <w:p>
      <w:pPr>
        <w:spacing w:after="0" w:line="185" w:lineRule="exact"/>
        <w:rPr>
          <w:rFonts w:ascii="Times New Roman" w:cs="Times New Roman" w:eastAsia="Times New Roman" w:hAnsi="Times New Roman"/>
          <w:sz w:val="21"/>
          <w:szCs w:val="21"/>
          <w:color w:val="010000"/>
        </w:rPr>
      </w:pPr>
    </w:p>
    <w:p>
      <w:pPr>
        <w:jc w:val="both"/>
        <w:ind w:firstLine="1304"/>
        <w:spacing w:after="0" w:line="249" w:lineRule="auto"/>
        <w:tabs>
          <w:tab w:leader="none" w:pos="1784" w:val="left"/>
        </w:tabs>
        <w:numPr>
          <w:ilvl w:val="0"/>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 Parties (including the interests of the Lender Parties hereunder and under the other Loan Documents). Each Lender Party agrees that no member of the Agent’s Group is or shall be required to restrict its activities as a result of the Person serving as Administrative Agent being a member of the Agent’s Group, and that each member of the Agent’s Group may undertake any Activities without further consultation with or notification to any Lender Party. None of (i) this Credit Agreement nor any other Loan Document, (ii) the receipt by the Agent’s Group of information (including Information) concerning the Loan Parties or their Affiliates (including information concerning the ability of the Loan Parties to perform their respective Obligations hereunder and under the other Loan Documents) nor (iii) any other matter shall give rise to any fiduciary, equitable or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22"/>
          <w:szCs w:val="22"/>
          <w:color w:val="auto"/>
        </w:rPr>
        <w:t>duties (including without limitation any duty of trust or confidence) owing by the Administrative Agent or any member of the Agent’s Group to any Lender Party including any such duty that would prevent or restrict the Agent’s Group from acting on behalf of customers (including the Loan Parties or their Affiliates) or for its own account.</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9.03 </w:t>
      </w:r>
      <w:r>
        <w:rPr>
          <w:rFonts w:ascii="Times New Roman" w:cs="Times New Roman" w:eastAsia="Times New Roman" w:hAnsi="Times New Roman"/>
          <w:sz w:val="22"/>
          <w:szCs w:val="22"/>
          <w:color w:val="000000"/>
        </w:rPr>
        <w:t>Duties of Administrative Agent; Exculpatory Provisions. (x) The Administrative Agent’s duties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hereunder and under the other Loan Documents are solely ministerial and administrative in nature and the Administrative Agent shall not have any duties or obligations except those expressly set forth herein and in the other Loan Documents.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Administrative Agent shall not be required to take any action that, in its opinion or the opinion of its counsel, may expose the Administrative Agent or any of its Affiliates to liability or that is contrary to any Loan Document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-1347470</wp:posOffset>
            </wp:positionV>
            <wp:extent cx="33724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72485" cy="8255"/>
                    </a:xfrm>
                    <a:prstGeom prst="rect">
                      <a:avLst/>
                    </a:prstGeom>
                    <a:noFill/>
                  </pic:spPr>
                </pic:pic>
              </a:graphicData>
            </a:graphic>
          </wp:anchor>
        </w:drawing>
      </w:r>
    </w:p>
    <w:p>
      <w:pPr>
        <w:jc w:val="both"/>
        <w:ind w:firstLine="1304"/>
        <w:spacing w:after="0" w:line="246" w:lineRule="auto"/>
        <w:tabs>
          <w:tab w:leader="none" w:pos="1782" w:val="left"/>
        </w:tabs>
        <w:numPr>
          <w:ilvl w:val="0"/>
          <w:numId w:val="2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(ii) in the absence of its own gross negligence or willful misconduct. The Administrative Agent shall be deemed not to have knowledge of any Default or the event or events that give or may give rise to any Default unless and until the Borrower or any Lender Party shall have given notice to the Administrative Agent describing such Default and such event or events.</w:t>
      </w:r>
    </w:p>
    <w:p>
      <w:pPr>
        <w:spacing w:after="0" w:line="185"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770" w:val="left"/>
        </w:tabs>
        <w:numPr>
          <w:ilvl w:val="0"/>
          <w:numId w:val="2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Administrative Agent nor any member of the Agent’s Group shall be responsible for or have any duty to ascertain or inquire into (i) any statement, warranty, representation or other information made or supplied in or in connection with this Credit Agreement, any other Loan Document,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Credit Agreement, any other Loan Document or any other agreement, instrument or document or the perfection or priority of any Lien or security interest created or purported to be created by the Collateral Documents or (v) the satisfaction of any condition set forth in Article V or elsewhere herein, other than (but subject to the foregoing clause (ii)) to confirm receipt of items expressly required to be delivered to the Administrative Agent.</w:t>
      </w:r>
    </w:p>
    <w:p>
      <w:pPr>
        <w:spacing w:after="0" w:line="183"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69" w:val="left"/>
        </w:tabs>
        <w:numPr>
          <w:ilvl w:val="0"/>
          <w:numId w:val="2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in this Credit Agreement or any other Loan Document shall require the Administrative Agent or any of its Related Parties to carry out any “know your customer” or other checks in relation to any Person on behalf of any Lender Party and each Lender Party confirms to the Administrative Agent that it is solely responsible for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8" w:name="page189"/>
    <w:bookmarkEnd w:id="18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checks it is required to carry out and that it may not rely on any statement in relation to such checks made by the Administrative Agent or any of its Related Parties.</w:t>
      </w:r>
    </w:p>
    <w:p>
      <w:pPr>
        <w:spacing w:after="0" w:line="15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9.04 </w:t>
      </w:r>
      <w:r>
        <w:rPr>
          <w:rFonts w:ascii="Times New Roman" w:cs="Times New Roman" w:eastAsia="Times New Roman" w:hAnsi="Times New Roman"/>
          <w:sz w:val="22"/>
          <w:szCs w:val="22"/>
          <w:color w:val="000000"/>
        </w:rPr>
        <w:t>Reliance by Administrative Agent. The Administrative Agent shall be entitled to rely upon,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Party, the Administrative Agent may presume that such condition is satisfactory to such Lender Party unless an officer of the Administrative Agent responsible for the transactions contemplated hereby shall have received notice to the contrary from such Lender Party prior to the making of such Loan or the issuance of such Letter of Credit, and in the case of a Borrowing, such Lender Party shall not have made available to the Administrative Agent such Lender Party’s ratable portion of such Borrowing. The Administrative Agent may consult with legal counsel (who may be counsel for the Borrower or any other Loan Party),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-2158365</wp:posOffset>
            </wp:positionV>
            <wp:extent cx="2100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9.05 </w:t>
      </w:r>
      <w:r>
        <w:rPr>
          <w:rFonts w:ascii="Times New Roman" w:cs="Times New Roman" w:eastAsia="Times New Roman" w:hAnsi="Times New Roman"/>
          <w:sz w:val="22"/>
          <w:szCs w:val="22"/>
          <w:color w:val="000000"/>
        </w:rPr>
        <w:t>Delegation of Duties. The Administrative Agent may perform any and all of its duties and exercise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10.04</w:t>
      </w:r>
      <w:r>
        <w:rPr>
          <w:rFonts w:ascii="Times New Roman" w:cs="Times New Roman" w:eastAsia="Times New Roman" w:hAnsi="Times New Roman"/>
          <w:sz w:val="22"/>
          <w:szCs w:val="22"/>
          <w:color w:val="000000"/>
        </w:rPr>
        <w:t xml:space="preserve"> (as though such sub-agents were the “Administrative Agent” under the Loan Documents) as if set forth in full herein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-1014095</wp:posOffset>
            </wp:positionV>
            <wp:extent cx="1297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010000"/>
        </w:rPr>
        <w:t xml:space="preserve">Section 9.06 </w:t>
      </w:r>
      <w:r>
        <w:rPr>
          <w:rFonts w:ascii="Times New Roman" w:cs="Times New Roman" w:eastAsia="Times New Roman" w:hAnsi="Times New Roman"/>
          <w:sz w:val="21"/>
          <w:szCs w:val="21"/>
          <w:color w:val="000000"/>
        </w:rPr>
        <w:t>Resignation of Administrative Agent. (y) The Administrative Agent may at any time give notice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its resignation to the Lender Parties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(such 30-day period, the “</w:t>
      </w:r>
      <w:r>
        <w:rPr>
          <w:rFonts w:ascii="Times New Roman" w:cs="Times New Roman" w:eastAsia="Times New Roman" w:hAnsi="Times New Roman"/>
          <w:sz w:val="21"/>
          <w:szCs w:val="21"/>
          <w:u w:val="single" w:color="auto"/>
          <w:color w:val="000000"/>
        </w:rPr>
        <w:t>Lender Party Appointment Period</w:t>
      </w:r>
      <w:r>
        <w:rPr>
          <w:rFonts w:ascii="Times New Roman" w:cs="Times New Roman" w:eastAsia="Times New Roman" w:hAnsi="Times New Roman"/>
          <w:sz w:val="21"/>
          <w:szCs w:val="21"/>
          <w:color w:val="000000"/>
        </w:rPr>
        <w:t>”), then the retiring Administrative Agent may on behalf of the Lender Parties, appoint a successor Administrative Agent meeting the qualifications set forth above. In addition and without any obligation on the part of the retiring Administrative Agent to appoint, on behalf of the Lender Parties, a successor Administrative Agent, the retiring Administrative Agent may at any time upon or after the end of the Lender Party Appointment Period notify the Company and the Lender Parties that no qualifying Person has accepted appointment as successor Administrative Agent and the effective date of such retiring Administrative Agent’s resignation. Upon the resignation effective date established in such notice and regardless of whether a successor Administrative Agent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-1846580</wp:posOffset>
            </wp:positionV>
            <wp:extent cx="2184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appointed and accepted such appointment, the retiring Administrative Agent’s resignation shall nonetheless become effective and</w:t>
      </w:r>
    </w:p>
    <w:p>
      <w:pPr>
        <w:spacing w:after="0" w:line="39" w:lineRule="exact"/>
        <w:rPr>
          <w:sz w:val="20"/>
          <w:szCs w:val="20"/>
          <w:color w:val="auto"/>
        </w:rPr>
      </w:pPr>
    </w:p>
    <w:p>
      <w:pPr>
        <w:jc w:val="both"/>
        <w:ind w:firstLine="8"/>
        <w:spacing w:after="0" w:line="245" w:lineRule="auto"/>
        <w:tabs>
          <w:tab w:leader="none" w:pos="27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retiring Administrative Agent shall be discharged from its duties and obligations as Administrative Agent hereunder and under the other Loan Documents and (ii) all payments, communications and determinations provided to be made by, to or through the Administrative Agent shall instead be made by or to each Lender Party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Administrative Agent shall be discharged from all of its duties and obligations as Administrative Agent hereunder or under the other Loan Documents (if not already discharged therefrom as provided above in this paragraph).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4"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86" w:val="left"/>
        </w:tabs>
        <w:numPr>
          <w:ilvl w:val="1"/>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resignation pursuant to this Section by a Person acting as Administrative Agent shall, unless such Person shall notify the Company and the Lender Parties otherwise, also act to relieve such Person and its Affiliates of any obligation to advance or issue new, or extend existing, Swingline Loans or Letters of Credit where such advance, issuance or extension is to occur on or after the effective date of such resignation. Upon the acceptance of a successor’s appointment as Administrative Agent hereunder, (i) such successor shall succeed to and become vested with all of the rights, powers, privileges and duties of the retiring L/C Issuer and Swingline Lender, (ii) the retiring L/C Issuer and Swingline Lender shall be discharged from all of their respective duties and obligations hereunder or under the other Loan Documents, (iii) the successor Swingline Lender shall enter into an Assignment and Assumption and acquire from the retiring Swingline Lender each outstanding Swingline Loan of such retiring Swingline Lender for a purchase price equal to par plus accrued interest and (iv) the successor L/C Issuer shall issue letters of credit in substitution for the Letters of Credit issued by such retiring L/C Issuer, if any, outstanding at the time of such succession or make other arrangement satisfactory to the retiring L/C Issuer to effectively assume the obligations of the retiring L/C Issuer with respect to such Letters of Credit.</w:t>
      </w:r>
    </w:p>
    <w:p>
      <w:pPr>
        <w:spacing w:after="0" w:line="19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754" w:val="left"/>
        </w:tabs>
        <w:numPr>
          <w:ilvl w:val="1"/>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addition to the foregoing, if a Lender becomes, and during the period it remains, a Defaulting Lender, each L/C Issuer and/or the Swingline Lender may, at any time, upon giving 20 Business Days’ prior written notice to the Company and the Administrative Agent, resign as an L/C Issuer or Swingline Lender, respectively, effective at the close of business New York City time on a date specified in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resignation by such L/C Issuer shall have no effect on the validity or enforceability of any Letter of Credit issued by such L/C Issuer that is then outstanding or on the obligations of the Borrower or any Lender under this Credit Agreement with respect to any such outstanding Letter of Credit or otherwise to such L/C Issuer;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resignation by the Swingline Lender shall have no effect on its rights in respect of any outstanding Swingline Loans or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obligations of the Borrower or any Lender under this Credit Agreement with respect to any such outstanding Swingline Loan.</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9.07</w:t>
      </w:r>
      <w:r>
        <w:rPr>
          <w:sz w:val="20"/>
          <w:szCs w:val="20"/>
          <w:color w:val="auto"/>
        </w:rPr>
        <w:tab/>
      </w:r>
      <w:r>
        <w:rPr>
          <w:rFonts w:ascii="Times New Roman" w:cs="Times New Roman" w:eastAsia="Times New Roman" w:hAnsi="Times New Roman"/>
          <w:sz w:val="21"/>
          <w:szCs w:val="21"/>
          <w:color w:val="auto"/>
        </w:rPr>
        <w:t>Non-Reliance on Administrative Agent and Other Lender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37058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05860" cy="8890"/>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5" w:lineRule="auto"/>
        <w:tabs>
          <w:tab w:leader="none" w:pos="1939"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confirms to the Administrative Agent, each other Lender Party and each of their respective Related Parties that it (i) possesses (individually or through its Related Parties) such knowledge and experience in financial and business matters and that it is capable, without reliance on the Administrative Agent, any other Lender Party or any of their respective Related Parties, of evaluating the merits and risks (including tax, legal, regulatory, credit, accounting and other financial matters) (x) of entering into this Credit Agreement, (y) of making Loans and other extensions of credit hereunder and under the other Loan Documents and (z) in taking or not taking actions hereunder and thereunder, (ii) is financially able to bear such risks and (iii) has determined that entering into this Credit Agreement and making Loans and other extensions of credit hereunder and under the other Loan Documents is suitable and appropriate for it.</w:t>
      </w:r>
    </w:p>
    <w:p>
      <w:pPr>
        <w:spacing w:after="0" w:line="205"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832"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acknowledges that (i) it is solely responsible for making its own independent appraisal and investigation of all risks arising under or in connection with this Credit Agreement and the other Loan Documents, (ii) it has, independently and without reliance upon the Administrative Agent, any other Lender Party or any of their respective Related Parties, made its own appraisal and investigation of all risks associated with, and its own credit analysis and decision to enter into, this Credit Agreement based on such documents and information, as it has deemed appropriate and (iii) it will, independently and without reliance upon the Administrative Agent, any other Lender Party or any of their respective Related Parties, continue to be solely responsible for making its own appraisal and investigation of all risks arising under or in connection with, and its own credit analysis and decision to take or not take action under, this Credit Agreement and the other Loan Documents based on such documents and information as it shall from time to time deem appropriate, which may include, in each case:</w:t>
      </w:r>
    </w:p>
    <w:p>
      <w:pPr>
        <w:spacing w:after="0" w:line="190" w:lineRule="exact"/>
        <w:rPr>
          <w:rFonts w:ascii="Times New Roman" w:cs="Times New Roman" w:eastAsia="Times New Roman" w:hAnsi="Times New Roman"/>
          <w:sz w:val="22"/>
          <w:szCs w:val="22"/>
          <w:color w:val="010000"/>
        </w:rPr>
      </w:pPr>
    </w:p>
    <w:p>
      <w:pPr>
        <w:ind w:left="2460" w:hanging="508"/>
        <w:spacing w:after="0"/>
        <w:tabs>
          <w:tab w:leader="none" w:pos="2460" w:val="left"/>
        </w:tabs>
        <w:numPr>
          <w:ilvl w:val="1"/>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financial condition, status and capitalization of the Borrower and each other Loan Party;</w:t>
      </w:r>
    </w:p>
    <w:p>
      <w:pPr>
        <w:spacing w:after="0" w:line="233"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61" w:val="left"/>
        </w:tabs>
        <w:numPr>
          <w:ilvl w:val="1"/>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legality, validity, effectiveness, adequacy or enforceability of this Credit Agreement and each other Loan Document and any other agreement, arrangement or document entered into, made or executed in anticipation of, under or in connection with any Loan Document;</w:t>
      </w:r>
    </w:p>
    <w:p>
      <w:pPr>
        <w:spacing w:after="0" w:line="172"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460" w:val="left"/>
        </w:tabs>
        <w:numPr>
          <w:ilvl w:val="1"/>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determining compliance or non-compliance with any condition hereunder to the making of a Loan, or the issuance of a Letter of Credit and the form and substance of all evidence delivered in connection with establishing the satisfaction of each such condition; and</w:t>
      </w:r>
    </w:p>
    <w:p>
      <w:pPr>
        <w:spacing w:after="0" w:line="16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98" w:val="left"/>
        </w:tabs>
        <w:numPr>
          <w:ilvl w:val="1"/>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adequacy, accuracy and/or completeness of any information delivered by the Administrative Agent, any other Lender Party or by any of their respective Related Parties under or in connection with this Credit Agreement or any other Loan Document, the transactions contemplated hereby and thereby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1" w:name="page192"/>
    <w:bookmarkEnd w:id="191"/>
    <w:p>
      <w:pPr>
        <w:ind w:left="660" w:right="20"/>
        <w:spacing w:after="0" w:line="271" w:lineRule="auto"/>
        <w:rPr>
          <w:sz w:val="20"/>
          <w:szCs w:val="20"/>
          <w:color w:val="auto"/>
        </w:rPr>
      </w:pPr>
      <w:r>
        <w:rPr>
          <w:rFonts w:ascii="Times New Roman" w:cs="Times New Roman" w:eastAsia="Times New Roman" w:hAnsi="Times New Roman"/>
          <w:sz w:val="22"/>
          <w:szCs w:val="22"/>
          <w:color w:val="auto"/>
        </w:rPr>
        <w:t>agreement, arrangement or document entered into, made or executed in anticipation of, under or in connection with any Loan Document.</w:t>
      </w:r>
    </w:p>
    <w:p>
      <w:pPr>
        <w:spacing w:after="0" w:line="158" w:lineRule="exact"/>
        <w:rPr>
          <w:sz w:val="20"/>
          <w:szCs w:val="20"/>
          <w:color w:val="auto"/>
        </w:rPr>
      </w:pPr>
    </w:p>
    <w:p>
      <w:pPr>
        <w:ind w:firstLine="1304"/>
        <w:spacing w:after="0" w:line="271" w:lineRule="auto"/>
        <w:tabs>
          <w:tab w:leader="none" w:pos="1830" w:val="left"/>
        </w:tabs>
        <w:numPr>
          <w:ilvl w:val="0"/>
          <w:numId w:val="2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acknowledges and agrees that the extensions of credit made hereunder are commercial loans and letters of credit and not investments in a business enterprise or securities.</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Section 9.08 </w:t>
      </w:r>
      <w:r>
        <w:rPr>
          <w:rFonts w:ascii="Times New Roman" w:cs="Times New Roman" w:eastAsia="Times New Roman" w:hAnsi="Times New Roman"/>
          <w:sz w:val="22"/>
          <w:szCs w:val="22"/>
          <w:color w:val="000000"/>
        </w:rPr>
        <w:t>No Other Duties, Etc. Anything herein to the contrary notwithstanding, none of the Persons acting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Joint Lead Arrangers, Joint Bookrunners, Syndication Agents or Co-Documentation Agents listed on the cover page hereof shall have any powers, duties or responsibilities under this Credit Agreement or any of the other Loan Documents, except in its capacity, as applicable, as the Administrative Agent or as a Lender Party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-528320</wp:posOffset>
            </wp:positionV>
            <wp:extent cx="136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9.09 </w:t>
      </w:r>
      <w:r>
        <w:rPr>
          <w:rFonts w:ascii="Times New Roman" w:cs="Times New Roman" w:eastAsia="Times New Roman" w:hAnsi="Times New Roman"/>
          <w:sz w:val="22"/>
          <w:szCs w:val="22"/>
          <w:color w:val="000000"/>
        </w:rPr>
        <w:t>Administrative Agent May File Proofs of Claim. In case of the pendency of any receivership,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-688340</wp:posOffset>
            </wp:positionV>
            <wp:extent cx="29876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87675" cy="8890"/>
                    </a:xfrm>
                    <a:prstGeom prst="rect">
                      <a:avLst/>
                    </a:prstGeom>
                    <a:noFill/>
                  </pic:spPr>
                </pic:pic>
              </a:graphicData>
            </a:graphic>
          </wp:anchor>
        </w:drawing>
      </w:r>
    </w:p>
    <w:p>
      <w:pPr>
        <w:jc w:val="both"/>
        <w:ind w:firstLine="1304"/>
        <w:spacing w:after="0" w:line="246" w:lineRule="auto"/>
        <w:tabs>
          <w:tab w:leader="none" w:pos="1803"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allowed in such judicial proceeding; and</w:t>
      </w:r>
    </w:p>
    <w:p>
      <w:pPr>
        <w:spacing w:after="0" w:line="188" w:lineRule="exact"/>
        <w:rPr>
          <w:rFonts w:ascii="Times New Roman" w:cs="Times New Roman" w:eastAsia="Times New Roman" w:hAnsi="Times New Roman"/>
          <w:sz w:val="22"/>
          <w:szCs w:val="22"/>
          <w:color w:val="010000"/>
        </w:rPr>
      </w:pPr>
    </w:p>
    <w:p>
      <w:pPr>
        <w:ind w:left="1920" w:hanging="616"/>
        <w:spacing w:after="0"/>
        <w:tabs>
          <w:tab w:leader="none" w:pos="1920"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distribute the same;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or to authorize the Administrative Agent to vote in respect of the claim of any Lender or any L/C Issuer or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2" w:name="page193"/>
    <w:bookmarkEnd w:id="192"/>
    <w:p>
      <w:pPr>
        <w:ind w:right="20"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9.10 </w:t>
      </w:r>
      <w:r>
        <w:rPr>
          <w:rFonts w:ascii="Times New Roman" w:cs="Times New Roman" w:eastAsia="Times New Roman" w:hAnsi="Times New Roman"/>
          <w:sz w:val="22"/>
          <w:szCs w:val="22"/>
          <w:color w:val="000000"/>
        </w:rPr>
        <w:t>Collateral and Guaranty Matters. The Secured Parties, the L/C Issuers, and the Administrative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Agent hereby acknowledge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-193675</wp:posOffset>
            </wp:positionV>
            <wp:extent cx="2037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jc w:val="both"/>
        <w:ind w:firstLine="1304"/>
        <w:spacing w:after="0" w:line="256" w:lineRule="auto"/>
        <w:tabs>
          <w:tab w:leader="none" w:pos="1779" w:val="left"/>
        </w:tabs>
        <w:numPr>
          <w:ilvl w:val="1"/>
          <w:numId w:val="2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Lien on any property granted to or held by the Administrative Agent under any Loan Document shall be automatically released (i) upon termination of the Aggregate Commitments and payment in full of all Obligations (other than contingent indemnification obligations) and the expiration or termination of all Letters of Credit, (ii) to the extent such property is sold or transferred as part of or in connection with any sale or other transfer permitted hereunder and the Loan Documents to any Person that is not a Loan Party, (iii) upon such property becoming an Excluded Asset or if such property does not constitute (or ceases to constitute) Collateral in a transaction that is permitted hereunder, (iv) if the property subject to such Lien is owned by a Guarantor, upon the release of such Guarantor in accordance with </w:t>
      </w:r>
      <w:r>
        <w:rPr>
          <w:rFonts w:ascii="Times New Roman" w:cs="Times New Roman" w:eastAsia="Times New Roman" w:hAnsi="Times New Roman"/>
          <w:sz w:val="21"/>
          <w:szCs w:val="21"/>
          <w:u w:val="single" w:color="auto"/>
          <w:color w:val="auto"/>
        </w:rPr>
        <w:t>Section 9.10(b)</w:t>
      </w:r>
      <w:r>
        <w:rPr>
          <w:rFonts w:ascii="Times New Roman" w:cs="Times New Roman" w:eastAsia="Times New Roman" w:hAnsi="Times New Roman"/>
          <w:sz w:val="21"/>
          <w:szCs w:val="21"/>
          <w:color w:val="auto"/>
        </w:rPr>
        <w:t xml:space="preserve">, (v) as provided for under Article VIII or as provided for in any other Loan Documents, (iv) if approved, authorized or ratified in writing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w:t>
      </w:r>
    </w:p>
    <w:p>
      <w:pPr>
        <w:spacing w:after="0" w:line="6" w:lineRule="exact"/>
        <w:rPr>
          <w:rFonts w:ascii="Times New Roman" w:cs="Times New Roman" w:eastAsia="Times New Roman" w:hAnsi="Times New Roman"/>
          <w:sz w:val="21"/>
          <w:szCs w:val="21"/>
          <w:color w:val="010000"/>
        </w:rPr>
      </w:pPr>
    </w:p>
    <w:p>
      <w:pPr>
        <w:ind w:right="20" w:firstLine="8"/>
        <w:spacing w:after="0" w:line="259" w:lineRule="auto"/>
        <w:tabs>
          <w:tab w:leader="none" w:pos="40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in each intercreditor agreement or arrangement permitted by this Credit Agreement in connection with the incurrence of Incremental Equivalent Debt;</w:t>
      </w:r>
    </w:p>
    <w:p>
      <w:pPr>
        <w:spacing w:after="0" w:line="170"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02" w:val="left"/>
        </w:tabs>
        <w:numPr>
          <w:ilvl w:val="1"/>
          <w:numId w:val="2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Guarantor shall be automatically released from its obligations hereunder and under the other Loan Documents (and its Guaranty and any Liens on its property constituting Collateral shall be automatically released) upon (i) such Guarantor ceasing to be a Domestic Subsidiary as a result of a transaction permitted hereunder, and the other Loan Documents or</w:t>
      </w:r>
    </w:p>
    <w:p>
      <w:pPr>
        <w:spacing w:after="0" w:line="2" w:lineRule="exact"/>
        <w:rPr>
          <w:rFonts w:ascii="Times New Roman" w:cs="Times New Roman" w:eastAsia="Times New Roman" w:hAnsi="Times New Roman"/>
          <w:sz w:val="21"/>
          <w:szCs w:val="21"/>
          <w:color w:val="010000"/>
        </w:rPr>
      </w:pPr>
    </w:p>
    <w:p>
      <w:pPr>
        <w:jc w:val="both"/>
        <w:ind w:firstLine="8"/>
        <w:spacing w:after="0" w:line="252" w:lineRule="auto"/>
        <w:tabs>
          <w:tab w:leader="none" w:pos="3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Guarantor becoming an Unrestricted Subsidiary, a Receivables Subsidiary, a Foreign Subsidiary, a Special Purpose Producer or a Subsidiary that is held directly or indirectly by a Foreign Subsidiary as a result of a transaction permitted hereunder;</w:t>
      </w:r>
    </w:p>
    <w:p>
      <w:pPr>
        <w:spacing w:after="0" w:line="178"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31" w:val="left"/>
        </w:tabs>
        <w:numPr>
          <w:ilvl w:val="1"/>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Administrative Agent is authorized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2"/>
          <w:szCs w:val="22"/>
          <w:u w:val="single" w:color="auto"/>
          <w:color w:val="auto"/>
        </w:rPr>
        <w:t>Section 7.17(ii)</w:t>
      </w:r>
      <w:r>
        <w:rPr>
          <w:rFonts w:ascii="Times New Roman" w:cs="Times New Roman" w:eastAsia="Times New Roman" w:hAnsi="Times New Roman"/>
          <w:sz w:val="22"/>
          <w:szCs w:val="22"/>
          <w:color w:val="auto"/>
        </w:rPr>
        <w:t>; and</w:t>
      </w:r>
    </w:p>
    <w:p>
      <w:pPr>
        <w:spacing w:after="0" w:line="186" w:lineRule="exact"/>
        <w:rPr>
          <w:rFonts w:ascii="Times New Roman" w:cs="Times New Roman" w:eastAsia="Times New Roman" w:hAnsi="Times New Roman"/>
          <w:sz w:val="22"/>
          <w:szCs w:val="22"/>
          <w:color w:val="010000"/>
        </w:rPr>
      </w:pPr>
    </w:p>
    <w:p>
      <w:pPr>
        <w:ind w:firstLine="1304"/>
        <w:spacing w:after="0" w:line="271" w:lineRule="auto"/>
        <w:tabs>
          <w:tab w:leader="none" w:pos="1788" w:val="left"/>
        </w:tabs>
        <w:numPr>
          <w:ilvl w:val="1"/>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 may enter into one or more intercreditor agreements or arrangements permitted by this Credit Agreement in connection with the incurrence of Incremental Equivalent Debt.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each case as specified in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Guaranty, in each case in accordance with the terms of the Loan Documents and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Section 9.11 </w:t>
      </w:r>
      <w:r>
        <w:rPr>
          <w:rFonts w:ascii="Times New Roman" w:cs="Times New Roman" w:eastAsia="Times New Roman" w:hAnsi="Times New Roman"/>
          <w:sz w:val="22"/>
          <w:szCs w:val="22"/>
          <w:color w:val="000000"/>
        </w:rPr>
        <w:t>Removal of Administrative Agent. Anything herein to the contrary notwithstanding, if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Required Lenders determine that the Person serving as Administrative Agent is (without taking into account any provision in the definition of “Defaulting Lender” requiring notice from the Administrative Agent or any other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-381635</wp:posOffset>
            </wp:positionV>
            <wp:extent cx="2050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3" w:name="page194"/>
    <w:bookmarkEnd w:id="19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Defaulting Lender, the Required Lenders (determined after giving effect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may by notice to the Company and such Person remove such Person as Administrative Agent and appoint a replacement Administrative Agent hereunder with the consent of the Company (such consent not to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removal shall, to the fullest extent permitted by applicable law, in any event become effective if no such replacement Administrative Agent is appointed hereunder within 30 days after the giving of such notice and (ii) no such consent of the Company shall be required if an Event of Default has occurred and is continuing at the time of such appointment.</w:t>
      </w:r>
    </w:p>
    <w:p>
      <w:pPr>
        <w:spacing w:after="0" w:line="2"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9.12 </w:t>
      </w:r>
      <w:r>
        <w:rPr>
          <w:rFonts w:ascii="Times New Roman" w:cs="Times New Roman" w:eastAsia="Times New Roman" w:hAnsi="Times New Roman"/>
          <w:sz w:val="22"/>
          <w:szCs w:val="22"/>
          <w:color w:val="000000"/>
        </w:rPr>
        <w:t>Certain ERISA Matters. (z) Each Lender (x) represents and warrants, as of the date such Person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-688340</wp:posOffset>
            </wp:positionV>
            <wp:extent cx="14935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660" w:firstLine="644"/>
        <w:spacing w:after="0" w:line="248" w:lineRule="auto"/>
        <w:tabs>
          <w:tab w:leader="none" w:pos="1804"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or the Commitments,</w:t>
      </w:r>
    </w:p>
    <w:p>
      <w:pPr>
        <w:spacing w:after="0" w:line="182"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837"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Credit Agreement,</w:t>
      </w:r>
    </w:p>
    <w:p>
      <w:pPr>
        <w:spacing w:after="0" w:line="180"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907"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Credit Agreement, (C) the entrance into, participation in, administration of and performance of the Loans, the Commitments and this Credit Agreement satisfy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Credit Agreement, or</w:t>
      </w:r>
    </w:p>
    <w:p>
      <w:pPr>
        <w:spacing w:after="0" w:line="186" w:lineRule="exact"/>
        <w:rPr>
          <w:rFonts w:ascii="Times New Roman" w:cs="Times New Roman" w:eastAsia="Times New Roman" w:hAnsi="Times New Roman"/>
          <w:sz w:val="22"/>
          <w:szCs w:val="22"/>
          <w:color w:val="010000"/>
        </w:rPr>
      </w:pPr>
    </w:p>
    <w:p>
      <w:pPr>
        <w:ind w:left="660" w:firstLine="644"/>
        <w:spacing w:after="0" w:line="271" w:lineRule="auto"/>
        <w:tabs>
          <w:tab w:leader="none" w:pos="1896"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firstLine="1304"/>
        <w:spacing w:after="0" w:line="256" w:lineRule="auto"/>
        <w:tabs>
          <w:tab w:leader="none" w:pos="1803"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4" w:name="page195"/>
    <w:bookmarkEnd w:id="194"/>
    <w:p>
      <w:pPr>
        <w:jc w:val="both"/>
        <w:spacing w:after="0" w:line="250" w:lineRule="auto"/>
        <w:rPr>
          <w:sz w:val="20"/>
          <w:szCs w:val="20"/>
          <w:color w:val="auto"/>
        </w:rPr>
      </w:pPr>
      <w:r>
        <w:rPr>
          <w:rFonts w:ascii="Times New Roman" w:cs="Times New Roman" w:eastAsia="Times New Roman" w:hAnsi="Times New Roman"/>
          <w:sz w:val="22"/>
          <w:szCs w:val="22"/>
          <w:color w:val="auto"/>
        </w:rPr>
        <w:t>Person ceases being a Lender party hereto, for the benefit of the Administrative Agent and its Affiliates, and not, for the avoidance of doubt, to or for the benefit of the Borrower or any other Loan Party, that none of the Administrative Agent, the Collateral or any of their respective Affiliates is a fiduciary with respect to the Collateral or the assets of such Lender (including in connection with the reservation or exercise of any rights by the Administrative Agent under this Credit Agreement, any Loan Document or any documents related hereto or thereto).</w:t>
      </w:r>
    </w:p>
    <w:p>
      <w:pPr>
        <w:spacing w:after="0" w:line="19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Section 9.13 </w:t>
      </w:r>
      <w:r>
        <w:rPr>
          <w:rFonts w:ascii="Times New Roman" w:cs="Times New Roman" w:eastAsia="Times New Roman" w:hAnsi="Times New Roman"/>
          <w:sz w:val="22"/>
          <w:szCs w:val="22"/>
          <w:color w:val="000000"/>
        </w:rPr>
        <w:t>Erroneous Payments. (aa) (i) Each Lender and L/C Issuer hereby agrees that (x) if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Administrative Agent notifies such Lender or L/C Issuer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000000"/>
        </w:rPr>
        <w:t>Payment</w:t>
      </w:r>
      <w:r>
        <w:rPr>
          <w:rFonts w:ascii="Times New Roman" w:cs="Times New Roman" w:eastAsia="Times New Roman" w:hAnsi="Times New Roman"/>
          <w:sz w:val="22"/>
          <w:szCs w:val="22"/>
          <w:color w:val="000000"/>
        </w:rPr>
        <w:t xml:space="preserve">”) were erroneously transmitted to such Lender or L/C Issuer (whether or not known to such Lender or L/C Issuer),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w:t>
      </w:r>
      <w:r>
        <w:rPr>
          <w:rFonts w:ascii="Times New Roman" w:cs="Times New Roman" w:eastAsia="Times New Roman" w:hAnsi="Times New Roman"/>
          <w:sz w:val="22"/>
          <w:szCs w:val="22"/>
          <w:u w:val="single" w:color="auto"/>
          <w:color w:val="000000"/>
        </w:rPr>
        <w:t>Section 9.13</w:t>
      </w:r>
      <w:r>
        <w:rPr>
          <w:rFonts w:ascii="Times New Roman" w:cs="Times New Roman" w:eastAsia="Times New Roman" w:hAnsi="Times New Roman"/>
          <w:sz w:val="22"/>
          <w:szCs w:val="22"/>
          <w:color w:val="000000"/>
        </w:rPr>
        <w:t xml:space="preserve">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-2323465</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both"/>
        <w:ind w:firstLine="1304"/>
        <w:spacing w:after="0" w:line="246" w:lineRule="auto"/>
        <w:tabs>
          <w:tab w:leader="none" w:pos="1875"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and L/C Issuer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or (y)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8" w:lineRule="exact"/>
        <w:rPr>
          <w:rFonts w:ascii="Times New Roman" w:cs="Times New Roman" w:eastAsia="Times New Roman" w:hAnsi="Times New Roman"/>
          <w:sz w:val="22"/>
          <w:szCs w:val="22"/>
          <w:color w:val="010000"/>
        </w:rPr>
      </w:pPr>
    </w:p>
    <w:p>
      <w:pPr>
        <w:ind w:right="20" w:firstLine="1304"/>
        <w:spacing w:after="0" w:line="271" w:lineRule="auto"/>
        <w:tabs>
          <w:tab w:leader="none" w:pos="1874"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and each other Loan Party hereby agrees that (x) in the event an erroneous Payment (or portion thereof) are not recovered from any Lender or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5" w:name="page196"/>
    <w:bookmarkEnd w:id="195"/>
    <w:p>
      <w:pPr>
        <w:jc w:val="both"/>
        <w:spacing w:after="0" w:line="250" w:lineRule="auto"/>
        <w:rPr>
          <w:sz w:val="20"/>
          <w:szCs w:val="20"/>
          <w:color w:val="auto"/>
        </w:rPr>
      </w:pPr>
      <w:r>
        <w:rPr>
          <w:rFonts w:ascii="Times New Roman" w:cs="Times New Roman" w:eastAsia="Times New Roman" w:hAnsi="Times New Roman"/>
          <w:sz w:val="22"/>
          <w:szCs w:val="22"/>
          <w:color w:val="auto"/>
        </w:rPr>
        <w:t>that has received such Payment (or portion thereof) for any reason, the Administrative Agent shall be subrogated to all the rights of such Lender or L/C Issuer with respect to such amount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for the purpose of satisfying such Obligations.</w:t>
      </w:r>
    </w:p>
    <w:p>
      <w:pPr>
        <w:spacing w:after="0" w:line="194" w:lineRule="exact"/>
        <w:rPr>
          <w:sz w:val="20"/>
          <w:szCs w:val="20"/>
          <w:color w:val="auto"/>
        </w:rPr>
      </w:pPr>
    </w:p>
    <w:p>
      <w:pPr>
        <w:jc w:val="both"/>
        <w:ind w:firstLine="1304"/>
        <w:spacing w:after="0" w:line="257" w:lineRule="auto"/>
        <w:tabs>
          <w:tab w:leader="none" w:pos="1974" w:val="left"/>
        </w:tabs>
        <w:numPr>
          <w:ilvl w:val="0"/>
          <w:numId w:val="2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party’s obligations under this Section </w:t>
      </w:r>
      <w:r>
        <w:rPr>
          <w:rFonts w:ascii="Times New Roman" w:cs="Times New Roman" w:eastAsia="Times New Roman" w:hAnsi="Times New Roman"/>
          <w:sz w:val="22"/>
          <w:szCs w:val="22"/>
          <w:u w:val="single" w:color="auto"/>
          <w:color w:val="auto"/>
        </w:rPr>
        <w:t>9.13</w:t>
      </w:r>
      <w:r>
        <w:rPr>
          <w:rFonts w:ascii="Times New Roman" w:cs="Times New Roman" w:eastAsia="Times New Roman" w:hAnsi="Times New Roman"/>
          <w:sz w:val="22"/>
          <w:szCs w:val="22"/>
          <w:color w:val="auto"/>
        </w:rPr>
        <w:t xml:space="preserve">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010000"/>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-11430</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2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10.01 </w:t>
      </w:r>
      <w:r>
        <w:rPr>
          <w:rFonts w:ascii="Times New Roman" w:cs="Times New Roman" w:eastAsia="Times New Roman" w:hAnsi="Times New Roman"/>
          <w:sz w:val="22"/>
          <w:szCs w:val="22"/>
          <w:color w:val="000000"/>
        </w:rPr>
        <w:t>Amendments, Etc. Except as provided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Sections 2.13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2.14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2.18</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otherwise herein, including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with respect to an Incremental Term Supplement, no amendment or waiver of any provision of this Credit Agreement or any other Loan Document, and no consent to any departure by the Borrower or any other Loan Party therefrom, shall be effective unless in writing signed by the Borrower or the applicable Loan Party, as the case may be, and (i) in the case of an amendment or waiver of any Financial Covenant or Revolving/Term A Event of Default, the Required Revolving/Term A Lenders, (ii) in the case of an amendment or waiver of any condition set forth in </w:t>
      </w:r>
      <w:r>
        <w:rPr>
          <w:rFonts w:ascii="Times New Roman" w:cs="Times New Roman" w:eastAsia="Times New Roman" w:hAnsi="Times New Roman"/>
          <w:sz w:val="22"/>
          <w:szCs w:val="22"/>
          <w:u w:val="single" w:color="auto"/>
          <w:color w:val="000000"/>
        </w:rPr>
        <w:t>Section 5.02</w:t>
      </w:r>
      <w:r>
        <w:rPr>
          <w:rFonts w:ascii="Times New Roman" w:cs="Times New Roman" w:eastAsia="Times New Roman" w:hAnsi="Times New Roman"/>
          <w:sz w:val="22"/>
          <w:szCs w:val="22"/>
          <w:color w:val="000000"/>
        </w:rPr>
        <w:t xml:space="preserve">, the Required Revolving Lenders and (iii) in the case of an amendment or waiver of any other provision or Event of Default, the Required Lenders,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no such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-1341120</wp:posOffset>
            </wp:positionV>
            <wp:extent cx="1172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ind w:left="660" w:firstLine="644"/>
        <w:spacing w:after="0" w:line="261" w:lineRule="auto"/>
        <w:tabs>
          <w:tab w:leader="none" w:pos="1764" w:val="left"/>
        </w:tabs>
        <w:numPr>
          <w:ilvl w:val="0"/>
          <w:numId w:val="2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waive any conditions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as to the initial Credit Extension hereunder, without the written consent of each Lender;</w:t>
      </w:r>
    </w:p>
    <w:p>
      <w:pPr>
        <w:spacing w:after="0" w:line="168" w:lineRule="exact"/>
        <w:rPr>
          <w:rFonts w:ascii="Times New Roman" w:cs="Times New Roman" w:eastAsia="Times New Roman" w:hAnsi="Times New Roman"/>
          <w:sz w:val="22"/>
          <w:szCs w:val="22"/>
          <w:color w:val="010000"/>
        </w:rPr>
      </w:pPr>
    </w:p>
    <w:p>
      <w:pPr>
        <w:ind w:left="660" w:firstLine="644"/>
        <w:spacing w:after="0" w:line="271" w:lineRule="auto"/>
        <w:tabs>
          <w:tab w:leader="none" w:pos="1912" w:val="left"/>
        </w:tabs>
        <w:numPr>
          <w:ilvl w:val="0"/>
          <w:numId w:val="2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extend or increase the Commitment of a Lender (or reinstate any Commitment of a Lender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without the written consent of such Lender;</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798" w:val="left"/>
        </w:tabs>
        <w:numPr>
          <w:ilvl w:val="0"/>
          <w:numId w:val="2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postpone any date fixed by this Credit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799" w:val="left"/>
        </w:tabs>
        <w:numPr>
          <w:ilvl w:val="0"/>
          <w:numId w:val="2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reduce the principal of, or the rate of interest specified herein on, any Loan or L/C Borrowing, or (subject to clause (v) 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any fees or other amounts payable hereunder or under any other Loan Document, or change the manner of computation of any financial ratio (including any change in any applicable defined term) used in determining the Applicable Rate that would result in a reduction of any interest rate on any Loan or any fee payable hereunder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6" w:name="page197"/>
    <w:bookmarkEnd w:id="196"/>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to amend the definition of “Default Rate” or to waive any obligation of the Borrower to pay interest or Letter of Credit Fees at the Default Rate;</w:t>
      </w:r>
    </w:p>
    <w:p>
      <w:pPr>
        <w:spacing w:after="0" w:line="173" w:lineRule="exact"/>
        <w:rPr>
          <w:sz w:val="20"/>
          <w:szCs w:val="20"/>
          <w:color w:val="auto"/>
        </w:rPr>
      </w:pPr>
    </w:p>
    <w:p>
      <w:pPr>
        <w:ind w:left="1760" w:hanging="456"/>
        <w:spacing w:after="0"/>
        <w:tabs>
          <w:tab w:leader="none" w:pos="1760" w:val="left"/>
        </w:tabs>
        <w:numPr>
          <w:ilvl w:val="0"/>
          <w:numId w:val="2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66" w:lineRule="auto"/>
        <w:tabs>
          <w:tab w:leader="none" w:pos="1761" w:val="left"/>
        </w:tabs>
        <w:numPr>
          <w:ilvl w:val="0"/>
          <w:numId w:val="2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change (i) any provision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Times New Roman" w:cs="Times New Roman" w:eastAsia="Times New Roman" w:hAnsi="Times New Roman"/>
          <w:sz w:val="21"/>
          <w:szCs w:val="21"/>
          <w:u w:val="single" w:color="auto"/>
          <w:color w:val="auto"/>
        </w:rPr>
        <w:t>Section 10.01(f)</w:t>
      </w:r>
      <w:r>
        <w:rPr>
          <w:rFonts w:ascii="Times New Roman" w:cs="Times New Roman" w:eastAsia="Times New Roman" w:hAnsi="Times New Roman"/>
          <w:sz w:val="21"/>
          <w:szCs w:val="21"/>
          <w:color w:val="auto"/>
        </w:rPr>
        <w:t xml:space="preserve">), without the written consent of each Lender, (ii) the definition of “Required Revolving Lenders,” “Required Term A Lenders,” “Required Revolving/Term A Lenders” or “Required Incremental Term Lenders” without the written consent of each Lender under the applicable Facility or Facilities or (iii)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a manner that would change the order therein without the written consent of each Lender directly and adversely affected thereby;</w:t>
      </w:r>
    </w:p>
    <w:p>
      <w:pPr>
        <w:spacing w:after="0" w:line="165" w:lineRule="exact"/>
        <w:rPr>
          <w:rFonts w:ascii="Times New Roman" w:cs="Times New Roman" w:eastAsia="Times New Roman" w:hAnsi="Times New Roman"/>
          <w:sz w:val="21"/>
          <w:szCs w:val="21"/>
          <w:color w:val="010000"/>
        </w:rPr>
      </w:pPr>
    </w:p>
    <w:p>
      <w:pPr>
        <w:ind w:left="660" w:firstLine="644"/>
        <w:spacing w:after="0" w:line="271" w:lineRule="auto"/>
        <w:tabs>
          <w:tab w:leader="none" w:pos="1789" w:val="left"/>
        </w:tabs>
        <w:numPr>
          <w:ilvl w:val="0"/>
          <w:numId w:val="2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all or substantially all of the Collateral in any transaction or series of related transactions, without the written consent of each Lender;</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788" w:val="left"/>
        </w:tabs>
        <w:numPr>
          <w:ilvl w:val="0"/>
          <w:numId w:val="2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or remove all or substantially all of the value of the Guarantees, taken as a whole, without the written consent of each Lender;</w:t>
      </w:r>
    </w:p>
    <w:p>
      <w:pPr>
        <w:spacing w:after="0" w:line="157" w:lineRule="exact"/>
        <w:rPr>
          <w:rFonts w:ascii="Times New Roman" w:cs="Times New Roman" w:eastAsia="Times New Roman" w:hAnsi="Times New Roman"/>
          <w:sz w:val="22"/>
          <w:szCs w:val="22"/>
          <w:color w:val="010000"/>
        </w:rPr>
      </w:pPr>
    </w:p>
    <w:p>
      <w:pPr>
        <w:ind w:left="1720" w:hanging="416"/>
        <w:spacing w:after="0"/>
        <w:tabs>
          <w:tab w:leader="none" w:pos="1720" w:val="left"/>
        </w:tabs>
        <w:numPr>
          <w:ilvl w:val="0"/>
          <w:numId w:val="2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change any provision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without the written consent of each Lender; or</w:t>
      </w:r>
    </w:p>
    <w:p>
      <w:pPr>
        <w:spacing w:after="0" w:line="233"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833" w:val="left"/>
        </w:tabs>
        <w:numPr>
          <w:ilvl w:val="0"/>
          <w:numId w:val="2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impose any greater restriction on the ability of any Lender under a Facility to assign any of its rights or obligations hereunder without the written consent of (i) if such Facility is the Term A Facility, the Required Term A Lenders, (ii) if such Facility is the Revolving Credit Facility, the Required Revolving Lenders and (iii) if such Facility is an Incremental Term Facility, the Required Incremental Term Lenders with respect to such Incremental Term Facility, if any;</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 no amendment, waiver or consent shall, unless in writing and signed by each L/C Issuer in addition to the Lenders required above, affect the rights or duties of any L/C Issuer under this Credit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Credit Agreement or any other Loan Document; (iii) no amendment, waiver or consent shall, unless in writing and signed by the Administrative Agent in addition to the Lenders required above, affect the rights or duties of the Administrative Agent under this Credit Agreement or any other Loan Document; (iv) </w:t>
      </w:r>
      <w:r>
        <w:rPr>
          <w:rFonts w:ascii="Times New Roman" w:cs="Times New Roman" w:eastAsia="Times New Roman" w:hAnsi="Times New Roman"/>
          <w:sz w:val="22"/>
          <w:szCs w:val="22"/>
          <w:u w:val="single" w:color="auto"/>
          <w:color w:val="auto"/>
        </w:rPr>
        <w:t>Section 10.06(h)</w:t>
      </w:r>
      <w:r>
        <w:rPr>
          <w:rFonts w:ascii="Times New Roman" w:cs="Times New Roman" w:eastAsia="Times New Roman" w:hAnsi="Times New Roman"/>
          <w:sz w:val="22"/>
          <w:szCs w:val="22"/>
          <w:color w:val="auto"/>
        </w:rPr>
        <w:t xml:space="preserve"> may not be amended, waived or otherwise modified without the consent of each Granting Lender all or any part of whose Loans are being funded by an SPC at the time of such amendment, waiver or other modification; and (v) the Fee Letters may be amended, or rights or privileges thereunder waived, in a writing executed only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7" w:name="page198"/>
    <w:bookmarkEnd w:id="197"/>
    <w:p>
      <w:pPr>
        <w:jc w:val="both"/>
        <w:ind w:firstLine="693"/>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(x) the Borrower may enter into amendments to effect Increases in accordance with Section 2.13, Incremental Term Supplements in accordance with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Extension Amendments in accordance with Section 2.18, and such amendments shall be effective to amend the terms of this Agreement and the other applicable Loan Documents, in each case, without any further action or consent of any other party to any Loan Document and (y) in connection with Incremental Loans or Incremental Equivalent Debt, at the Borrower’s election, the Loan Documents may be amended, without the consent of any Lender, to make conforming changes to include for the benefit of the existing Lenders any such more restrictive covenants, defaults or other non-economic provisions applicable to such Incremental Term Loans or Incremental Equivalent Debt, as applicable.</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Anything herein to the contrary notwithstanding, during such period as a Lender is a Defaulting Lender, to the fullest extent permitted by applicable Law such Lender shall not be entitled to vote in respect of amendments and waivers hereunder and the Commitment and the outstanding Loans or other Credit Extension of such Lender hereunder shall not be taken into account in determining whether the Required Lenders or all of the Lenders, as the case may be, have approved any such amendment or waiver (and the definition of “Required Lenders” shall automatically be deemed modified accordingly for the duration of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amendment or waiver that would increase or extend the term of the Commitment of such Defaulting Lender, or extend the date fixed for the payment of principal or interest owing to such Defaulting Lender hereunder, or reduce the principal amount of any obligation owing to such Defaulting Lender, or reduce the amount of or the rate or amount of interest on any amount owing to such Defaulting Lender, or of any fee payable to such Defaulting Lender hereunder, or alter the terms of this proviso, shall require the consent of such Defaulting Lender.</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herein, no Affiliate of the Borrower that is a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such affiliated Lenders, except that any waiver, amendment or modification requiring the consent of all Lenders or each affected Lender that by its terms affects any such affiliated Lender in its capacity as a Lender more adversely than other affected Lenders shall require the consent of such affiliated Lender.</w:t>
      </w:r>
    </w:p>
    <w:p>
      <w:pPr>
        <w:spacing w:after="0" w:line="18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010000"/>
        </w:rPr>
        <w:t xml:space="preserve">Section 10.02 </w:t>
      </w:r>
      <w:r>
        <w:rPr>
          <w:rFonts w:ascii="Times New Roman" w:cs="Times New Roman" w:eastAsia="Times New Roman" w:hAnsi="Times New Roman"/>
          <w:sz w:val="22"/>
          <w:szCs w:val="22"/>
          <w:color w:val="000000"/>
        </w:rPr>
        <w:t>Notices; Effectiveness; Electronic Communications. (a) All notices, demands, requests, consents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other communications provided for in this Credit Agreement shall be given in writing, or by any telecommunication device capable of creating a written record (including electronic mail), and addressed to the party to be notified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-365125</wp:posOffset>
            </wp:positionV>
            <wp:extent cx="2972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72435" cy="8890"/>
                    </a:xfrm>
                    <a:prstGeom prst="rect">
                      <a:avLst/>
                    </a:prstGeom>
                    <a:noFill/>
                  </pic:spPr>
                </pic:pic>
              </a:graphicData>
            </a:graphic>
          </wp:anchor>
        </w:drawing>
      </w:r>
    </w:p>
    <w:p>
      <w:pPr>
        <w:ind w:left="1720" w:hanging="416"/>
        <w:spacing w:after="0"/>
        <w:tabs>
          <w:tab w:leader="none" w:pos="1720" w:val="left"/>
        </w:tabs>
        <w:numPr>
          <w:ilvl w:val="0"/>
          <w:numId w:val="2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Borrower or any other Loan Party</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AMC Networks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10001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Patrick O’Connell, Executive Vice President &amp; Chief Financial Officer</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Tel: +1 212 324 8773</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Patrick.OConnell@amcnetworks.com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198" w:name="page199"/>
    <w:bookmarkEnd w:id="198"/>
    <w:p>
      <w:pPr>
        <w:ind w:left="2600"/>
        <w:spacing w:after="0"/>
        <w:rPr>
          <w:sz w:val="20"/>
          <w:szCs w:val="20"/>
          <w:color w:val="auto"/>
        </w:rPr>
      </w:pPr>
      <w:r>
        <w:rPr>
          <w:rFonts w:ascii="Times New Roman" w:cs="Times New Roman" w:eastAsia="Times New Roman" w:hAnsi="Times New Roman"/>
          <w:sz w:val="22"/>
          <w:szCs w:val="22"/>
          <w:u w:val="single" w:color="auto"/>
          <w:color w:val="auto"/>
        </w:rPr>
        <w:t>Each with a copies to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AMC Networks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10001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James Gallagher, General Counsel</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Jamie.Gallagher@amcnetworks.com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AMC Networks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10001</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Edward Schwartz, EVP – Strategic Finance &amp; Treasurer</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(212) 324-4825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Edward.schwartz@amcnetworks.com</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Cc: amctreasury@amcnetworks.com</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Robert Downes</w:t>
      </w:r>
      <w:r>
        <w:rPr>
          <w:rFonts w:ascii="Times New Roman" w:cs="Times New Roman" w:eastAsia="Times New Roman" w:hAnsi="Times New Roman"/>
          <w:sz w:val="22"/>
          <w:szCs w:val="22"/>
          <w:u w:val="single" w:color="auto"/>
          <w:color w:val="0000FF"/>
        </w:rPr>
        <w:t>; Ari B. Blaut</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10004-2498</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(212) 558-4312</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No.: (212) 558-3588</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downesr@sullcrom.com</w:t>
      </w:r>
      <w:r>
        <w:rPr>
          <w:rFonts w:ascii="Times New Roman" w:cs="Times New Roman" w:eastAsia="Times New Roman" w:hAnsi="Times New Roman"/>
          <w:sz w:val="22"/>
          <w:szCs w:val="22"/>
          <w:u w:val="single" w:color="auto"/>
          <w:color w:val="0000FF"/>
        </w:rPr>
        <w:t>; blauta@sullcrom.com</w:t>
      </w:r>
    </w:p>
    <w:p>
      <w:pPr>
        <w:spacing w:after="0" w:line="207" w:lineRule="exact"/>
        <w:rPr>
          <w:sz w:val="20"/>
          <w:szCs w:val="20"/>
          <w:color w:val="auto"/>
        </w:rPr>
      </w:pPr>
    </w:p>
    <w:p>
      <w:pPr>
        <w:ind w:left="1780" w:hanging="476"/>
        <w:spacing w:after="0"/>
        <w:tabs>
          <w:tab w:leader="none" w:pos="1780"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Administrative Agent or Swingline Lender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500 Stanton Christiana Road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NCC5 / 1st Floor</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Newark, DE 19713</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Loan &amp; Agency Services Group</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No.: (484) 889-2178</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eureka.young@jpmchase.com</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Agency Withholding Tax Inquiries</w:t>
      </w:r>
      <w:r>
        <w:rPr>
          <w:rFonts w:ascii="Times New Roman" w:cs="Times New Roman" w:eastAsia="Times New Roman" w:hAnsi="Times New Roman"/>
          <w:sz w:val="22"/>
          <w:szCs w:val="22"/>
          <w:color w:val="auto"/>
        </w:rPr>
        <w:t>: agency.tax.reporting@jpmorgan.com</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Agency Compliance/Financials/Intralinks</w:t>
      </w:r>
      <w:r>
        <w:rPr>
          <w:rFonts w:ascii="Times New Roman" w:cs="Times New Roman" w:eastAsia="Times New Roman" w:hAnsi="Times New Roman"/>
          <w:sz w:val="22"/>
          <w:szCs w:val="22"/>
          <w:color w:val="auto"/>
        </w:rPr>
        <w:t>: covenant.compliance@jpmchase.com</w:t>
      </w:r>
    </w:p>
    <w:p>
      <w:pPr>
        <w:spacing w:after="0" w:line="2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Each with a copy to</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240"/>
          </w:cols>
          <w:pgMar w:left="320" w:top="1287" w:right="1339" w:bottom="1440" w:gutter="0" w:footer="0" w:header="0"/>
        </w:sectPr>
      </w:pPr>
    </w:p>
    <w:bookmarkStart w:id="199" w:name="page200"/>
    <w:bookmarkEnd w:id="199"/>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383 Madison Avenue</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Yamila Suleta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yamila.m.suleta@jpmorgan.com</w:t>
      </w:r>
    </w:p>
    <w:p>
      <w:pPr>
        <w:spacing w:after="0" w:line="209" w:lineRule="exact"/>
        <w:rPr>
          <w:sz w:val="20"/>
          <w:szCs w:val="20"/>
          <w:color w:val="auto"/>
        </w:rPr>
      </w:pPr>
    </w:p>
    <w:p>
      <w:pPr>
        <w:ind w:left="1840" w:hanging="536"/>
        <w:spacing w:after="0"/>
        <w:tabs>
          <w:tab w:leader="none" w:pos="1840" w:val="left"/>
        </w:tabs>
        <w:numPr>
          <w:ilvl w:val="0"/>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Collateral Agent</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CIB DMO WLO</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Mail code NY1-C413</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 CMC, Brooklyn, NY 11245-0001</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E-mail Address: ib.collateral.services@jpmchase.com</w:t>
      </w: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Each with a copy to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383 Madison Avenue</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Daniel G. Luby, Jr.</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No.: (212) 270-3279</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daniel.g.lubyjr@jpmorgan.com</w:t>
      </w:r>
    </w:p>
    <w:p>
      <w:pPr>
        <w:spacing w:after="0" w:line="196" w:lineRule="exact"/>
        <w:rPr>
          <w:sz w:val="20"/>
          <w:szCs w:val="20"/>
          <w:color w:val="auto"/>
        </w:rPr>
      </w:pPr>
    </w:p>
    <w:p>
      <w:pPr>
        <w:ind w:left="1840" w:hanging="536"/>
        <w:spacing w:after="0"/>
        <w:tabs>
          <w:tab w:leader="none" w:pos="1840" w:val="left"/>
        </w:tabs>
        <w:numPr>
          <w:ilvl w:val="0"/>
          <w:numId w:val="2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JPMCB, in its capacity as an L/C Issuer,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10420 Highland Manor Drive, 4th Floor</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Tampa, Florida 33610</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Standby LC Unit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No.: (800) 364-1969</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(856) 294-5267</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gts.ib.standby@jpmchase.com</w:t>
      </w:r>
    </w:p>
    <w:p>
      <w:pPr>
        <w:spacing w:after="0" w:line="20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Each with a copy to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500 Stanton Christiana Road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NCC5 / 1st Floor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Newark, DE 19713</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Loan &amp; Agency Services Group</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No.: (484) 889-2178</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eureka.young@jpmchase.com</w:t>
      </w:r>
    </w:p>
    <w:p>
      <w:pPr>
        <w:spacing w:after="0" w:line="196" w:lineRule="exact"/>
        <w:rPr>
          <w:sz w:val="20"/>
          <w:szCs w:val="20"/>
          <w:color w:val="auto"/>
        </w:rPr>
      </w:pPr>
    </w:p>
    <w:p>
      <w:pPr>
        <w:ind w:left="1780" w:hanging="476"/>
        <w:spacing w:after="0"/>
        <w:tabs>
          <w:tab w:leader="none" w:pos="1780" w:val="left"/>
        </w:tabs>
        <w:numPr>
          <w:ilvl w:val="0"/>
          <w:numId w:val="2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Bank of America, in its capacity as an L/C Issuer,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 Fleet Way</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Scranton, PA 18570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171</w:t>
      </w:r>
    </w:p>
    <w:p>
      <w:pPr>
        <w:sectPr>
          <w:pgSz w:w="11900" w:h="16838" w:orient="portrait"/>
          <w:cols w:equalWidth="0" w:num="1">
            <w:col w:w="10139"/>
          </w:cols>
          <w:pgMar w:left="320" w:top="1287" w:right="1440"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0139"/>
          </w:cols>
          <w:pgMar w:left="320" w:top="1287" w:right="1440" w:bottom="1440" w:gutter="0" w:footer="0" w:header="0"/>
          <w:type w:val="continuous"/>
        </w:sectPr>
      </w:pPr>
    </w:p>
    <w:bookmarkStart w:id="200" w:name="page201"/>
    <w:bookmarkEnd w:id="200"/>
    <w:p>
      <w:pPr>
        <w:ind w:left="2600"/>
        <w:spacing w:after="0"/>
        <w:rPr>
          <w:sz w:val="20"/>
          <w:szCs w:val="20"/>
          <w:color w:val="auto"/>
        </w:rPr>
      </w:pPr>
      <w:r>
        <w:rPr>
          <w:rFonts w:ascii="Times New Roman" w:cs="Times New Roman" w:eastAsia="Times New Roman" w:hAnsi="Times New Roman"/>
          <w:sz w:val="22"/>
          <w:szCs w:val="22"/>
          <w:color w:val="auto"/>
        </w:rPr>
        <w:t>Attention: Michael Grizzanti</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No.: (570) 496-9621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Address: michael.a.grizzanti@bofa.com</w:t>
      </w:r>
    </w:p>
    <w:p>
      <w:pPr>
        <w:spacing w:after="0" w:line="223" w:lineRule="exact"/>
        <w:rPr>
          <w:sz w:val="20"/>
          <w:szCs w:val="20"/>
          <w:color w:val="auto"/>
        </w:rPr>
      </w:pPr>
    </w:p>
    <w:p>
      <w:pPr>
        <w:ind w:left="1980" w:hanging="676"/>
        <w:spacing w:after="0"/>
        <w:tabs>
          <w:tab w:leader="none" w:pos="1980" w:val="left"/>
        </w:tabs>
        <w:numPr>
          <w:ilvl w:val="0"/>
          <w:numId w:val="2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any other Lender Party, to it at its address (or facsimile number) set forth in its Administrative</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Questionnaire,</w:t>
      </w:r>
    </w:p>
    <w:p>
      <w:pPr>
        <w:spacing w:after="0" w:line="2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 at such other address as shall be notified in writing (x) in the case of the Borrower, the Administrative Agent and the Swingline Lender, to the other parties and (y) in the case of all other parties, to the Company and the Administrative Agent.</w:t>
      </w:r>
    </w:p>
    <w:p>
      <w:pPr>
        <w:spacing w:after="0" w:line="158" w:lineRule="exact"/>
        <w:rPr>
          <w:sz w:val="20"/>
          <w:szCs w:val="20"/>
          <w:color w:val="auto"/>
        </w:rPr>
      </w:pPr>
    </w:p>
    <w:p>
      <w:pPr>
        <w:ind w:left="1780" w:hanging="476"/>
        <w:spacing w:after="0"/>
        <w:tabs>
          <w:tab w:leader="none" w:pos="1780" w:val="left"/>
        </w:tabs>
        <w:numPr>
          <w:ilvl w:val="1"/>
          <w:numId w:val="2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notices, demands, requests, consents and other communications described in clause (a) shall be effective</w:t>
      </w:r>
    </w:p>
    <w:p>
      <w:pPr>
        <w:spacing w:after="0" w:line="39" w:lineRule="exact"/>
        <w:rPr>
          <w:rFonts w:ascii="Times New Roman" w:cs="Times New Roman" w:eastAsia="Times New Roman" w:hAnsi="Times New Roman"/>
          <w:sz w:val="21"/>
          <w:szCs w:val="21"/>
          <w:color w:val="010000"/>
        </w:rPr>
      </w:pPr>
    </w:p>
    <w:p>
      <w:pPr>
        <w:jc w:val="both"/>
        <w:ind w:firstLine="8"/>
        <w:spacing w:after="0" w:line="246" w:lineRule="auto"/>
        <w:tabs>
          <w:tab w:leader="none" w:pos="26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delivered by hand, including any overnight courier service, upon personal delivery, (ii) if delivered by mail, on the date five Business Days after dispatch by certified or registered mail, (iii) if delivered by posting to an Approved Electronic Platform, an Internet website or a similar telecommunication device requiring that a user have prior access to such Approved Electronic Platform, website or other device (to the extent permitted by clause (d) below to be delivered 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 undertaking a duty of confidentiality) and such Person has been notified in respect of such posting that a communication has been posted to the Approved Electronic Platform and (iv) if delivered by electronic mail or any other telecommunications device, when transmitted to an electronic mail address (or by another means of electronic delivery) as provided in clause (a);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communication is given pursuant to clause (iii) or (iv) hereof and is not posted or transmitted, as applicable, during the normal business hours of the recipient, such notice or communication shall be deemed to have been sent at the opening of business on the next Business Day of the recipient;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notices and communications to the Administrative Agent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not be effective until received by the Administrative Agent.</w:t>
      </w:r>
    </w:p>
    <w:p>
      <w:pPr>
        <w:spacing w:after="0" w:line="19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5" w:val="left"/>
        </w:tabs>
        <w:numPr>
          <w:ilvl w:val="1"/>
          <w:numId w:val="2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clauses (a) and (b) (unless the Administrative Agent requests that the provisions of clause (a) and (b) be followed) and any other provision in this Credit Agreement or any other Loan Document providing for the delivery of any Approved Electronic Communication by any other means, the Loan Parties shall deliver all Approved Electronic Communications to the Administrative Agent by properly transmitting such Approved Electronic Communications in an electronic/soft medium in a format acceptable to the Administrative Agent to eureka.young@jpmchase.com or such other electronic mail address (or similar means of electronic delivery) as the Administrative Agent may notify to the Company. Nothing in this clause (c) shall prejudice the right of the Administrative Agent or any Lender Party to deliver any Approved Electronic Communication to any Loan Party in any manner authorized in this Credit Agreement or to request that the Borrower effect delivery in such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1" w:name="page202"/>
    <w:bookmarkEnd w:id="201"/>
    <w:p>
      <w:pPr>
        <w:jc w:val="both"/>
        <w:ind w:firstLine="1304"/>
        <w:spacing w:after="0" w:line="252" w:lineRule="auto"/>
        <w:tabs>
          <w:tab w:leader="none" w:pos="1764" w:val="left"/>
        </w:tabs>
        <w:numPr>
          <w:ilvl w:val="0"/>
          <w:numId w:val="2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(i) Each of the Lender Parties and each Loan Party agree that the Administrative Agent may, but shall not be obligated to, make the Approved Electronic Communications available to the Lender Parties by posting such Approved Electronic Communications on IntraLinks™ or a substantially similar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62" w:lineRule="auto"/>
        <w:tabs>
          <w:tab w:leader="none" w:pos="1785" w:val="left"/>
        </w:tabs>
        <w:numPr>
          <w:ilvl w:val="0"/>
          <w:numId w:val="2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single-user-per-deal authorization method whereby each user may access the Approved Electronic Platform only on a deal-by-deal basis, each of the Lender Parties and each Loan Party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 Parties and each Loan Party hereby approves distribution of the Approved Electronic Communications through the Approved Electronic Platform and understands and assumes the risks of such distribution.</w:t>
      </w:r>
    </w:p>
    <w:p>
      <w:pPr>
        <w:spacing w:after="0" w:line="171" w:lineRule="exact"/>
        <w:rPr>
          <w:rFonts w:ascii="Times New Roman" w:cs="Times New Roman" w:eastAsia="Times New Roman" w:hAnsi="Times New Roman"/>
          <w:sz w:val="21"/>
          <w:szCs w:val="21"/>
          <w:color w:val="010000"/>
        </w:rPr>
      </w:pPr>
    </w:p>
    <w:p>
      <w:pPr>
        <w:jc w:val="both"/>
        <w:ind w:left="660" w:firstLine="644"/>
        <w:spacing w:after="0" w:line="248" w:lineRule="auto"/>
        <w:tabs>
          <w:tab w:leader="none" w:pos="2428" w:val="left"/>
        </w:tabs>
        <w:numPr>
          <w:ilvl w:val="0"/>
          <w:numId w:val="2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APPROVED ELECTRONIC PLATFORM AND THE APPROVED ELECTRONIC COMMUNICATIONS ARE PROVIDED “AS IS” AND “AS AVAILABLE”. NONE OF THE ADMINISTRATIVE AGENT NOR ANY OTHER MEMBER OF THE AGENT’S GROUP WARRANT THE ACCURACY, ADEQUACY OR COMPLETENESS OF THE APPROVED ELECTRONIC COMMUNICATIONS OR THE APPROVED ELECTRONIC PLATFORM AND EACH EXPRESSLY DISCLAIMS ANY LIABILITY FOR ERRORS OR OMISSIONS IN THE APPROVED ELECTRONIC COMMUNICATIONS OR THE APPROVED ELECTRONIC PLATFORM. NO WARRANTY OF ANY KIND, EXPRESS, IMPLIED OR STATUTORY, INCLUDING, WITHOUT LIMITATION, ANY WARRANTY OF MERCHANTABILITY, FITNESS FOR A PARTICULAR PURPOSE, NON-INFRINGEMENT OF THIRD PARTY RIGHTS OR FREEDOM FROM VIRUSES OR OTHER CODE DEFECTS, IS MADE BY THE AGENT’S GROUP IN CONNECTION WITH THE APPROVED ELECTRONIC COMMUNICATIONS OR THE APPROVED ELECTRONIC PLATFORM.</w:t>
      </w:r>
    </w:p>
    <w:p>
      <w:pPr>
        <w:spacing w:after="0" w:line="188"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915" w:val="left"/>
        </w:tabs>
        <w:numPr>
          <w:ilvl w:val="0"/>
          <w:numId w:val="2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Lender Parties and each Loan Party agree that the Administrative Agent may, but (except as may be required by applicable law) shall not be obligated to, store the Approved Electronic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jc w:val="both"/>
        <w:ind w:firstLine="1304"/>
        <w:spacing w:after="0" w:line="257" w:lineRule="auto"/>
        <w:tabs>
          <w:tab w:leader="none" w:pos="1779" w:val="left"/>
        </w:tabs>
        <w:numPr>
          <w:ilvl w:val="0"/>
          <w:numId w:val="2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Reliance by Administrative Agent, L/C Issuers and Lenders</w:t>
      </w:r>
      <w:r>
        <w:rPr>
          <w:rFonts w:ascii="Times New Roman" w:cs="Times New Roman" w:eastAsia="Times New Roman" w:hAnsi="Times New Roman"/>
          <w:sz w:val="22"/>
          <w:szCs w:val="22"/>
          <w:color w:val="auto"/>
        </w:rPr>
        <w:t>. The Administrative Agent, the L/C Issuers and the Lenders shall be entitled to rely and act upon any notices (including telephonic Committed Loan Notices) purportedly given by or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2"/>
          <w:szCs w:val="22"/>
          <w:color w:val="auto"/>
        </w:rPr>
        <w:t>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0" w:lineRule="exact"/>
        <w:rPr>
          <w:sz w:val="20"/>
          <w:szCs w:val="20"/>
          <w:color w:val="auto"/>
        </w:rPr>
      </w:pPr>
    </w:p>
    <w:p>
      <w:pPr>
        <w:jc w:val="both"/>
        <w:ind w:firstLine="1304"/>
        <w:spacing w:after="0" w:line="259" w:lineRule="auto"/>
        <w:tabs>
          <w:tab w:leader="none" w:pos="2011" w:val="left"/>
        </w:tabs>
        <w:numPr>
          <w:ilvl w:val="0"/>
          <w:numId w:val="2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Administrative Agent and the Lender Parties agrees to maintain the confidentiality of the Information (as defined below), except that Information may be disclosed (a) to its Affiliates and to its and its Affiliates’ respective partners, directors, officers, employees, agents, advisors and representatives on a need to know basis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any action or proceeding relating to this Credit Agreement or any other Loan Document, the enforcement of rights hereunder or thereunder, (f) subject to an agreement containing provisions substantially the same as those of this Section (other than in the case of a pledge to any Federal Reserve Bank or other central banking authority), to (i) any assignee of or Participant in, or any prospective assignee of or Participant in, any of its rights or obligations under this Credit Agreement, (ii) any pledge referred to in </w:t>
      </w:r>
      <w:r>
        <w:rPr>
          <w:rFonts w:ascii="Times New Roman" w:cs="Times New Roman" w:eastAsia="Times New Roman" w:hAnsi="Times New Roman"/>
          <w:sz w:val="21"/>
          <w:szCs w:val="21"/>
          <w:u w:val="single" w:color="auto"/>
          <w:color w:val="auto"/>
        </w:rPr>
        <w:t>Section 10.06(f)</w:t>
      </w:r>
      <w:r>
        <w:rPr>
          <w:rFonts w:ascii="Times New Roman" w:cs="Times New Roman" w:eastAsia="Times New Roman" w:hAnsi="Times New Roman"/>
          <w:sz w:val="21"/>
          <w:szCs w:val="21"/>
          <w:color w:val="auto"/>
        </w:rPr>
        <w:t>, (iii) any actual or prospective swap counterparty (or its managers, administrators, trustees, partners, directors, officers, employees, agents, advisors and other representatives) surety, reinsurer, guarantor or credit liquidity enhancer (or their advisors) to or in connection with any swap, derivative or other similar transaction under which payments are to be made by reference to the Obligations or to the Borrower and its obligations or to this Credit Agreement or payments hereunder, (iv) to any rating agency when required by it or (v) the CUSIP Service Bureau or any similar organization, (g) with the written consent of the Company or (h) to the extent such Information (i) becomes publicly available other than as a result of a breach of this Section or (ii) becomes available to the Administrative Agent, any Lender Party or any of their respective Affiliates on a non-confidential basis from a source other than the Borrower or any other Loan Party. 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any Loan Party or any Subsidiary thereof relating to any Loan Party or any Subsidiary thereof or any of their respective businesses, other than any such information that is available to the Administrative Agent or any Lender Party on a non-confidential basis prior to disclosure by any Loan Party or any Subsidiary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a Loan Party or any such Subsidiaries after the Closing Date, such information is not marked “PUBLIC” or otherwise identified at the time of delivery as confidential. In addition, the Administrative Agent, the Issuing Banks and the Lenders may disclose the existence of this Agreement and information about this Agreement to market data collectors, similar service providers to the lending industry and service providers to the Agents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3" w:name="page204"/>
    <w:bookmarkEnd w:id="203"/>
    <w:p>
      <w:pPr>
        <w:ind w:right="20"/>
        <w:spacing w:after="0" w:line="271" w:lineRule="auto"/>
        <w:rPr>
          <w:sz w:val="20"/>
          <w:szCs w:val="20"/>
          <w:color w:val="auto"/>
        </w:rPr>
      </w:pPr>
      <w:r>
        <w:rPr>
          <w:rFonts w:ascii="Times New Roman" w:cs="Times New Roman" w:eastAsia="Times New Roman" w:hAnsi="Times New Roman"/>
          <w:sz w:val="22"/>
          <w:szCs w:val="22"/>
          <w:color w:val="auto"/>
        </w:rPr>
        <w:t>any Issuing Bank or Lender in connection with the administration of this Agreement, the other Loan Documents, and the Commitments.</w:t>
      </w:r>
    </w:p>
    <w:p>
      <w:pPr>
        <w:spacing w:after="0" w:line="158" w:lineRule="exact"/>
        <w:rPr>
          <w:sz w:val="20"/>
          <w:szCs w:val="20"/>
          <w:color w:val="auto"/>
        </w:rPr>
      </w:pPr>
    </w:p>
    <w:p>
      <w:pPr>
        <w:jc w:val="both"/>
        <w:ind w:firstLine="1304"/>
        <w:spacing w:after="0" w:line="258" w:lineRule="auto"/>
        <w:tabs>
          <w:tab w:leader="none" w:pos="1818" w:val="left"/>
        </w:tabs>
        <w:numPr>
          <w:ilvl w:val="1"/>
          <w:numId w:val="2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Treatment of Information</w:t>
      </w:r>
      <w:r>
        <w:rPr>
          <w:rFonts w:ascii="Times New Roman" w:cs="Times New Roman" w:eastAsia="Times New Roman" w:hAnsi="Times New Roman"/>
          <w:sz w:val="21"/>
          <w:szCs w:val="21"/>
          <w:color w:val="auto"/>
        </w:rPr>
        <w:t>. (ii) Certain of the Lenders may enter into this Credit Agreement and take or not take action hereunder or under the other Loan Documents on the basis of information that does not contain material non-public information with respect to any of the Loan Parties or their securities (“</w:t>
      </w:r>
      <w:r>
        <w:rPr>
          <w:rFonts w:ascii="Times New Roman" w:cs="Times New Roman" w:eastAsia="Times New Roman" w:hAnsi="Times New Roman"/>
          <w:sz w:val="21"/>
          <w:szCs w:val="21"/>
          <w:u w:val="single" w:color="auto"/>
          <w:color w:val="auto"/>
        </w:rPr>
        <w:t>Restricting Information</w:t>
      </w:r>
      <w:r>
        <w:rPr>
          <w:rFonts w:ascii="Times New Roman" w:cs="Times New Roman" w:eastAsia="Times New Roman" w:hAnsi="Times New Roman"/>
          <w:sz w:val="21"/>
          <w:szCs w:val="21"/>
          <w:color w:val="auto"/>
        </w:rPr>
        <w:t>”). Other Lenders may enter into this Credit Agreement and take or not take action hereunder or under the other Loan Documents on the basis of information that may contain Restricting Information. Each Lender Party acknowledges that United States federal and state securities laws prohibit any Person from purchasing or selling securities on the basis of material, non-public information concerning the such issuer of such securities or, subject to certain limited exceptions, from communicating such information to any other Person. Neither the Administrative Agent nor any of its Related Parties shall, by making any Communications (including Restricting Information) available to a Lender Party, by participating in any conversations or other interactions with a Lender Party or otherwise, make or be deemed to make any statement with regard to or otherwise warrant that any such information or Communication does or does not contain Restricting Information nor shall the Administrative Agent or any of its Related Parties be responsible or liable in any way for any decision a Lender Party may make to limit or to not limit its access to Restricting Information. In particular, none of the Administrative Agent nor any of its Related Parties (i) shall have, and the Administrative Agent, on behalf of itself and each of its Related Parties, hereby disclaims, any duty to ascertain or inquire as to whether or not a Lender Party has or has not limited its access to Restricting Information, such Lender Party’s policies or procedures regarding the safeguarding of material, nonpublic information or such Lender Party’s compliance with applicable laws related thereto or</w:t>
      </w:r>
    </w:p>
    <w:p>
      <w:pPr>
        <w:spacing w:after="0" w:line="15" w:lineRule="exact"/>
        <w:rPr>
          <w:rFonts w:ascii="Times New Roman" w:cs="Times New Roman" w:eastAsia="Times New Roman" w:hAnsi="Times New Roman"/>
          <w:sz w:val="21"/>
          <w:szCs w:val="21"/>
          <w:color w:val="010000"/>
        </w:rPr>
      </w:pPr>
    </w:p>
    <w:p>
      <w:pPr>
        <w:jc w:val="both"/>
        <w:ind w:firstLine="8"/>
        <w:spacing w:after="0" w:line="245" w:lineRule="auto"/>
        <w:tabs>
          <w:tab w:leader="none" w:pos="32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or incur, any liability to any Loan Party or Lender Party or any of their respective Related Parties arising out of or relating to the Administrative Agent or any of its Related Parties providing or not providing Restricting Information to any Lender Party.</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76" w:val="left"/>
        </w:tabs>
        <w:numPr>
          <w:ilvl w:val="1"/>
          <w:numId w:val="2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Loan Party agrees that (i) all Communications it provides to the Administrative Agent intended for delivery to the Lender Parties whether by posting to the Approved Electronic Platform or otherwise shall be clearly and conspicuously marked “PUBLIC” if such Communications do not contain Restricting Information which, at a minimum, means that the word “PUBLIC” shall appear prominently on the first page thereof, (ii) by marking Communications “PUBLIC,” each Loan Party shall be deemed to have authorized the Administrative Agent and the Lender Parties to treat such Communications as either publicly available information or not material information (although, in this latter case, such Communications may contain sensitive business information and, therefore, remain subject to the confidentiality undertakings of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 xml:space="preserve"> with respect to such Loan Party or its securities for purposes of United States Federal and state securities laws), (iii) all Communications marked “PUBLIC” may be delivered to all Lender Parties and may be made available through a portion of the Approved Electronic Platform designated “Public Side Information,” and (iv) the Administrative Agent shall be entitled to treat any Communications that are not marked “PUBLIC” as Restricting Information and may post such Communications to a portion of the Approved Electronic Platform not designated “Public Side Information.”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4" w:name="page205"/>
    <w:bookmarkEnd w:id="204"/>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Administrative Agent nor any of its Affiliates shall be responsible for any statement or other designation by a Loan Party regarding whether a Communication contains or does not contain material non-public information with respect to any of the Loan Parties or their securities nor shall the Administrative Agent or any of its Affiliates incur any liability to any Loan Party, any Lender Party or any other Person for any action taken by the Administrative Agent or any of its Affiliates based upon such statement or designation, including any action as a result of which Restricting Information is provided to a Lender Party that may decide not to take access to Restricting Information. Nothing in this </w:t>
      </w:r>
      <w:r>
        <w:rPr>
          <w:rFonts w:ascii="Times New Roman" w:cs="Times New Roman" w:eastAsia="Times New Roman" w:hAnsi="Times New Roman"/>
          <w:sz w:val="22"/>
          <w:szCs w:val="22"/>
          <w:u w:val="single" w:color="auto"/>
          <w:color w:val="auto"/>
        </w:rPr>
        <w:t>Section 10.02(g)</w:t>
      </w:r>
      <w:r>
        <w:rPr>
          <w:rFonts w:ascii="Times New Roman" w:cs="Times New Roman" w:eastAsia="Times New Roman" w:hAnsi="Times New Roman"/>
          <w:sz w:val="22"/>
          <w:szCs w:val="22"/>
          <w:color w:val="auto"/>
        </w:rPr>
        <w:t xml:space="preserve"> shall modify or limit a Lender Party’s obligations under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 xml:space="preserve"> with regard to Communications and the maintenance of the confidentiality of or other treatment of Information.</w:t>
      </w:r>
    </w:p>
    <w:p>
      <w:pPr>
        <w:spacing w:after="0" w:line="182" w:lineRule="exact"/>
        <w:rPr>
          <w:sz w:val="20"/>
          <w:szCs w:val="20"/>
          <w:color w:val="auto"/>
        </w:rPr>
      </w:pPr>
    </w:p>
    <w:p>
      <w:pPr>
        <w:jc w:val="both"/>
        <w:ind w:left="660" w:firstLine="644"/>
        <w:spacing w:after="0" w:line="251" w:lineRule="auto"/>
        <w:tabs>
          <w:tab w:leader="none" w:pos="1917" w:val="left"/>
        </w:tabs>
        <w:numPr>
          <w:ilvl w:val="0"/>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acknowledges that circumstances may arise that require it to refer to Communications that might contain Restricting Information. Accordingly, each Lender Party agrees that it will nominate at least one designee to receive Communications (including Restricting Information) on its behalf and identify such designee (including such designee’s contact information) on such Lender Party’s Administrative Questionnaire. Each Lender Party agrees to notify the Administrative Agent from time to time of such Lender Party’s designee’s e-mail address to which notice of the availability of Restricting Information may be sent by electronic transmission.</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988" w:val="left"/>
        </w:tabs>
        <w:numPr>
          <w:ilvl w:val="0"/>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Lender Party acknowledges that Communications delivered hereunder and under the other Loan Documents may contain Restricting Information and that such Communications are available to all Lender Parties generally. Each Lender Party that elects not to take access to Restricting Information does so voluntarily and, by such election, acknowledges and agrees that the Administrative Agent and other Lender Parties may have access to Restricting Information that is not available to such electing Lender Party. None of the Administrative Agent nor any Lender Party with access to Restricting Information shall have any duty to disclose such Restricting Information to such electing Lender Party or to use such Restricting Information on behalf of such electing Lender Party, and shall not be liable for the failure to so disclose or use, such Restricting Information.</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48" w:lineRule="auto"/>
        <w:tabs>
          <w:tab w:leader="none" w:pos="1857" w:val="left"/>
        </w:tabs>
        <w:numPr>
          <w:ilvl w:val="0"/>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provisions of the foregoing clauses of this </w:t>
      </w:r>
      <w:r>
        <w:rPr>
          <w:rFonts w:ascii="Times New Roman" w:cs="Times New Roman" w:eastAsia="Times New Roman" w:hAnsi="Times New Roman"/>
          <w:sz w:val="22"/>
          <w:szCs w:val="22"/>
          <w:u w:val="single" w:color="auto"/>
          <w:color w:val="auto"/>
        </w:rPr>
        <w:t>Section 10.02(g)</w:t>
      </w:r>
      <w:r>
        <w:rPr>
          <w:rFonts w:ascii="Times New Roman" w:cs="Times New Roman" w:eastAsia="Times New Roman" w:hAnsi="Times New Roman"/>
          <w:sz w:val="22"/>
          <w:szCs w:val="22"/>
          <w:color w:val="auto"/>
        </w:rPr>
        <w:t xml:space="preserve"> are designed to assist the Administrative Agent, the Lender Parties and the Loan Parties, in complying with their respective contractual obligations and applicable law in circumstances where certain Lender Parties express a desire not to receive Restricting Information notwithstanding that certain Communications hereunder or under the other Loan Documents or other information provided to the Lender Parties hereunder or thereunder may contain Restricting Information. Neither the Administrative Agent nor any of its Related Parties warrants or makes any other statement with respect to the adequacy of such provisions to achieve such purpose nor does the Administrative Agent or any of its Related Parties warrant or make any other statement to the effect that a Loan Party’s or Lender Party’s adherence to such provisions will be sufficient to ensure compliance by such Loan Party or Lender Party with its contractual obligations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5" w:name="page206"/>
    <w:bookmarkEnd w:id="205"/>
    <w:p>
      <w:pPr>
        <w:ind w:left="660"/>
        <w:spacing w:after="0" w:line="271" w:lineRule="auto"/>
        <w:rPr>
          <w:sz w:val="20"/>
          <w:szCs w:val="20"/>
          <w:color w:val="auto"/>
        </w:rPr>
      </w:pPr>
      <w:r>
        <w:rPr>
          <w:rFonts w:ascii="Times New Roman" w:cs="Times New Roman" w:eastAsia="Times New Roman" w:hAnsi="Times New Roman"/>
          <w:sz w:val="22"/>
          <w:szCs w:val="22"/>
          <w:color w:val="auto"/>
        </w:rPr>
        <w:t>duties under applicable law in respect of Restricting Information and each of the Lender Parties and each Loan Party assumes the risks associated therewith.</w:t>
      </w:r>
    </w:p>
    <w:p>
      <w:pPr>
        <w:spacing w:after="0" w:line="158" w:lineRule="exact"/>
        <w:rPr>
          <w:sz w:val="20"/>
          <w:szCs w:val="20"/>
          <w:color w:val="auto"/>
        </w:rPr>
      </w:pPr>
    </w:p>
    <w:p>
      <w:pPr>
        <w:jc w:val="both"/>
        <w:ind w:left="660" w:firstLine="644"/>
        <w:spacing w:after="0" w:line="256" w:lineRule="auto"/>
        <w:tabs>
          <w:tab w:leader="none" w:pos="1903" w:val="left"/>
        </w:tabs>
        <w:numPr>
          <w:ilvl w:val="0"/>
          <w:numId w:val="25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Anything herein to the contrary notwithstanding, nothing in this Agreement or any other Loan Document prohibits or restricts any Person from communicating about violations or suspected violations of law or regulation directly to any Governmental Authority, any self-regulatory organization, or any regulatory authority to the extent such communication is protected under whistleblower provisions of applicable law.</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10.03 </w:t>
      </w:r>
      <w:r>
        <w:rPr>
          <w:rFonts w:ascii="Times New Roman" w:cs="Times New Roman" w:eastAsia="Times New Roman" w:hAnsi="Times New Roman"/>
          <w:sz w:val="22"/>
          <w:szCs w:val="22"/>
          <w:color w:val="000000"/>
        </w:rPr>
        <w:t>No Waiver; Cumulative Remedies. No failure on the part of the Administrative Agent, any L/C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Issuer or any Lender to exercise, and no delay by any such Person in exercising, and no course of dealing with respect to, any right, remedy, power or privilege under this Credit Agreement or any other Loan Document shall operate as a waiver thereof, nor shall any single or partial exercise of any right, remedy, power or privilege under this Credit Agreement or any other Loan Document preclude any other or further exercise thereof or the exercise of any other right, power or privilege. The right, remedy, power or privilege provided herein, and provided under any other Loan Document, are cumulative and not exclusive of any right, remedy, power or privilege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-1015365</wp:posOffset>
            </wp:positionV>
            <wp:extent cx="20878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87880" cy="8255"/>
                    </a:xfrm>
                    <a:prstGeom prst="rect">
                      <a:avLst/>
                    </a:prstGeom>
                    <a:noFill/>
                  </pic:spPr>
                </pic:pic>
              </a:graphicData>
            </a:graphic>
          </wp:anchor>
        </w:drawing>
      </w:r>
    </w:p>
    <w:p>
      <w:pPr>
        <w:ind w:left="1300"/>
        <w:spacing w:after="0"/>
        <w:tabs>
          <w:tab w:leader="none" w:pos="2760" w:val="left"/>
        </w:tabs>
        <w:rPr>
          <w:sz w:val="20"/>
          <w:szCs w:val="20"/>
          <w:color w:val="auto"/>
        </w:rPr>
      </w:pPr>
      <w:r>
        <w:rPr>
          <w:rFonts w:ascii="Times New Roman" w:cs="Times New Roman" w:eastAsia="Times New Roman" w:hAnsi="Times New Roman"/>
          <w:sz w:val="22"/>
          <w:szCs w:val="22"/>
          <w:color w:val="010000"/>
        </w:rPr>
        <w:t>Section 10.04</w:t>
      </w:r>
      <w:r>
        <w:rPr>
          <w:rFonts w:ascii="Times New Roman" w:cs="Times New Roman" w:eastAsia="Times New Roman" w:hAnsi="Times New Roman"/>
          <w:sz w:val="22"/>
          <w:szCs w:val="22"/>
          <w:color w:val="auto"/>
        </w:rPr>
        <w:tab/>
        <w:t xml:space="preserve">Expenses; Limitation of Liability; Indemnity. (bb)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Company shall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-29210</wp:posOffset>
            </wp:positionV>
            <wp:extent cx="2666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jc w:val="both"/>
        <w:ind w:firstLine="8"/>
        <w:spacing w:after="0" w:line="246" w:lineRule="auto"/>
        <w:tabs>
          <w:tab w:leader="none" w:pos="27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out-of-pocket expenses incurred by the Administrative Agent and its Affiliates (including the reasonable fees, charges and disbursements of Gibson, Dunn &amp; Crutcher LLP, counsel for the Administrative Agent and of special and local counsel to the Lenders retained by the Administrative Agent following consultation with the Company), for which an invoice has been presented to the Company, in connection with the preparation, due diligence, administration, syndication and closing of this Credit Agreement and the other Loan Documents or any amendments, modifications or waivers of the provisions hereof or thereof (whether or not the transactions contemplated hereby or thereby shall be consummated), (ii) all reasonable out-of-pocket expenses incurred by each L/C Issuer, for which an invoice has been presented to the Company, in connection with the issuance, amendment, renewal or extension of any Letter of Credit or any demand for payment thereunder and (iii) all expenses incurred by the Administrative Agent, any Lender or any L/C Issuer (including the fees, charges and disbursements of one primary counsel for the Administrative Agent and one additional counsel for the Lenders) for which an invoice has been presented to the Company, in connection with the enforcement or protection of its rights (A) in connection with this Credit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31" w:val="left"/>
        </w:tabs>
        <w:numPr>
          <w:ilvl w:val="1"/>
          <w:numId w:val="2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To the extent permitted by applicable law (i) the Loan Parties shall not assert, and each Loan Party hereby waives, any claim against the Administrative Agent, the Collateral Agent and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for any Liabilities arising from the use by others of information or other materials (including, without limitation, any personal data) obtained through telecommunications, electronic or other information transmission systems (including the Internet), except to the extent that such Liabilities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6" w:name="page207"/>
    <w:bookmarkEnd w:id="206"/>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determined by a court of competent jurisdiction by a final and nonappealable judgment to have resulted from the gross negligence, bad faith or willful misconduct of such Lender-Related Person or any of its Related Parties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under this Credit Agreement, any Loan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8.03(b) shall relieve the Loan Parties of any obligation it may have to indemnify an Indemnitee, as provided in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against any special, indirect, consequential or punitive damages asserted against such Indemnitee by a third party.</w:t>
      </w:r>
    </w:p>
    <w:p>
      <w:pPr>
        <w:spacing w:after="0" w:line="185" w:lineRule="exact"/>
        <w:rPr>
          <w:sz w:val="20"/>
          <w:szCs w:val="20"/>
          <w:color w:val="auto"/>
        </w:rPr>
      </w:pPr>
    </w:p>
    <w:p>
      <w:pPr>
        <w:jc w:val="both"/>
        <w:ind w:firstLine="1304"/>
        <w:spacing w:after="0" w:line="250" w:lineRule="auto"/>
        <w:tabs>
          <w:tab w:leader="none" w:pos="1833"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The Company shall indemnify the Administrative Agent (and any sub-agent thereof), the Joint Lead Arrangers, the Lenders, the L/C Issuers and each of their respective Affiliates, officers, directors, employees, members, partners and agents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and related reasonable out-of-pocket documented expenses (including, without limitation, the reasonable out-of-pocket documented and invoiced fees, disbursements and other charges of</w:t>
      </w:r>
    </w:p>
    <w:p>
      <w:pPr>
        <w:spacing w:after="0" w:line="2" w:lineRule="exact"/>
        <w:rPr>
          <w:rFonts w:ascii="Times New Roman" w:cs="Times New Roman" w:eastAsia="Times New Roman" w:hAnsi="Times New Roman"/>
          <w:sz w:val="22"/>
          <w:szCs w:val="22"/>
          <w:color w:val="010000"/>
        </w:rPr>
      </w:pPr>
    </w:p>
    <w:p>
      <w:pPr>
        <w:jc w:val="both"/>
        <w:ind w:firstLine="8"/>
        <w:spacing w:after="0" w:line="257" w:lineRule="auto"/>
        <w:tabs>
          <w:tab w:leader="none" w:pos="325"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counsel, (b) in the case of a material conflict between two or more Indemnitees, as so determined in the reasonable opinion of existing counsel, one additional counsel, and (c) one local counsel in each applicable jurisdiction), incurred by any Indemnitee or asserted against any Indemnitee by any third party or by the Borrower or any other Loan Party (but excluding any proceeding brought by a Lender against any other Lender (in such Lender’s capacity as a Lender and not in any capacity as a Joint Lead Arranger or the Administrative Agent))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Affiliates, officers, directors, employees and agents only, the administration of this Credit Agreement and the other Loan Documents,</w:t>
      </w:r>
    </w:p>
    <w:p>
      <w:pPr>
        <w:spacing w:after="0" w:line="8" w:lineRule="exact"/>
        <w:rPr>
          <w:rFonts w:ascii="Times New Roman" w:cs="Times New Roman" w:eastAsia="Times New Roman" w:hAnsi="Times New Roman"/>
          <w:sz w:val="21"/>
          <w:szCs w:val="21"/>
          <w:color w:val="auto"/>
        </w:rPr>
      </w:pPr>
    </w:p>
    <w:p>
      <w:pPr>
        <w:jc w:val="both"/>
        <w:ind w:firstLine="8"/>
        <w:spacing w:after="0" w:line="246" w:lineRule="auto"/>
        <w:tabs>
          <w:tab w:leader="none" w:pos="327"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or Letter of Credit or the use or proposed use of the proceeds therefrom (including any refusal by an L/C Issuer to honor a demand for payment under a Letter of Credit issued by such L/C Issuer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of the Borrower or any of its Subsidiaries, or (iv) any actual or prospective claim, litigation, investigation or proceeding (or preparation of a defense in connection therewith)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(x) are determined by a court of competent jurisdiction in a final and non-appealable judgment to have resulted from the gross negligence or willful misconduct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7" w:name="page208"/>
    <w:bookmarkEnd w:id="207"/>
    <w:p>
      <w:pPr>
        <w:jc w:val="both"/>
        <w:spacing w:after="0" w:line="257" w:lineRule="auto"/>
        <w:rPr>
          <w:sz w:val="20"/>
          <w:szCs w:val="20"/>
          <w:color w:val="auto"/>
        </w:rPr>
      </w:pPr>
      <w:r>
        <w:rPr>
          <w:rFonts w:ascii="Times New Roman" w:cs="Times New Roman" w:eastAsia="Times New Roman" w:hAnsi="Times New Roman"/>
          <w:sz w:val="22"/>
          <w:szCs w:val="22"/>
          <w:color w:val="auto"/>
        </w:rPr>
        <w:t>such Indemnitee or (y) result from a claim brought by the Borrower or any other Loan Party against an Indemnitee for material breach of such Indemnitee’s material obligations hereunder or under any other Loan Document, if the Borrower or such Loan Party has obtained a final and non-appealable judgment in its favor on such claim from a court of competent jurisdiction.</w:t>
      </w:r>
    </w:p>
    <w:p>
      <w:pPr>
        <w:spacing w:after="0" w:line="173" w:lineRule="exact"/>
        <w:rPr>
          <w:sz w:val="20"/>
          <w:szCs w:val="20"/>
          <w:color w:val="auto"/>
        </w:rPr>
      </w:pPr>
    </w:p>
    <w:p>
      <w:pPr>
        <w:jc w:val="both"/>
        <w:ind w:firstLine="1304"/>
        <w:spacing w:after="0" w:line="260" w:lineRule="auto"/>
        <w:tabs>
          <w:tab w:leader="none" w:pos="1858" w:val="left"/>
        </w:tabs>
        <w:numPr>
          <w:ilvl w:val="0"/>
          <w:numId w:val="2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xml:space="preserve">. Each Lender severally agrees to pay any amount required to be paid by the Company under paragraphs (a), (b) or (c) of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to the Administrative Agent and its Related Parties (each, an “</w:t>
      </w:r>
      <w:r>
        <w:rPr>
          <w:rFonts w:ascii="Times New Roman" w:cs="Times New Roman" w:eastAsia="Times New Roman" w:hAnsi="Times New Roman"/>
          <w:sz w:val="21"/>
          <w:szCs w:val="21"/>
          <w:u w:val="single" w:color="auto"/>
          <w:color w:val="auto"/>
        </w:rPr>
        <w:t>Agent-Related Person</w:t>
      </w:r>
      <w:r>
        <w:rPr>
          <w:rFonts w:ascii="Times New Roman" w:cs="Times New Roman" w:eastAsia="Times New Roman" w:hAnsi="Times New Roman"/>
          <w:sz w:val="21"/>
          <w:szCs w:val="21"/>
          <w:color w:val="auto"/>
        </w:rPr>
        <w:t xml:space="preserve">”) (to the extent not reimbursed by the Company and without limiting the obligation of the Company to do so), ratably according to their respective Applicable Percentage in effect on the date on which such payment is sought under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Credit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w:t>
      </w:r>
    </w:p>
    <w:p>
      <w:pPr>
        <w:spacing w:after="0" w:line="179" w:lineRule="exact"/>
        <w:rPr>
          <w:rFonts w:ascii="Times New Roman" w:cs="Times New Roman" w:eastAsia="Times New Roman" w:hAnsi="Times New Roman"/>
          <w:sz w:val="21"/>
          <w:szCs w:val="21"/>
          <w:color w:val="010000"/>
        </w:rPr>
      </w:pPr>
    </w:p>
    <w:p>
      <w:pPr>
        <w:ind w:left="1800" w:hanging="496"/>
        <w:spacing w:after="0"/>
        <w:tabs>
          <w:tab w:leader="none" w:pos="1800"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be payable not later than ten Business Days after</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demand therefor.</w:t>
      </w:r>
    </w:p>
    <w:p>
      <w:pPr>
        <w:spacing w:after="0" w:line="195"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55"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survive the resignation of the Administrative Agent and any L/C Issuer, the replacement of any Lender, the termination of this Credit Agreement, the termination of the Aggregate Commitments and the repayment, satisfaction or discharge of all the other Obligations.</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10.05 </w:t>
      </w:r>
      <w:r>
        <w:rPr>
          <w:rFonts w:ascii="Times New Roman" w:cs="Times New Roman" w:eastAsia="Times New Roman" w:hAnsi="Times New Roman"/>
          <w:sz w:val="22"/>
          <w:szCs w:val="22"/>
          <w:color w:val="000000"/>
        </w:rPr>
        <w:t>Payments Set Aside. To the extent that any payment by or on behalf of the Borrower is made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-1520190</wp:posOffset>
            </wp:positionV>
            <wp:extent cx="12769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8" w:name="page209"/>
    <w:bookmarkEnd w:id="208"/>
    <w:p>
      <w:pPr>
        <w:jc w:val="both"/>
        <w:spacing w:after="0" w:line="250" w:lineRule="auto"/>
        <w:rPr>
          <w:sz w:val="20"/>
          <w:szCs w:val="20"/>
          <w:color w:val="auto"/>
        </w:rPr>
      </w:pPr>
      <w:r>
        <w:rPr>
          <w:rFonts w:ascii="Times New Roman" w:cs="Times New Roman" w:eastAsia="Times New Roman" w:hAnsi="Times New Roman"/>
          <w:sz w:val="22"/>
          <w:szCs w:val="22"/>
          <w:color w:val="auto"/>
        </w:rPr>
        <w:t>rate per annum equal to the Federal Funds Rate from time to time in effect. The obligations of the Lenders and the L/C Issuers under clause (b) of the preceding sentence shall survive the payment in full of the Obligations and the termination of this Credit Agreement.</w:t>
      </w:r>
    </w:p>
    <w:p>
      <w:pPr>
        <w:spacing w:after="0" w:line="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10.06 </w:t>
      </w:r>
      <w:r>
        <w:rPr>
          <w:rFonts w:ascii="Times New Roman" w:cs="Times New Roman" w:eastAsia="Times New Roman" w:hAnsi="Times New Roman"/>
          <w:sz w:val="22"/>
          <w:szCs w:val="22"/>
          <w:color w:val="000000"/>
        </w:rPr>
        <w:t>Successors and Assigns. (cc)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Successors and Assigns Generally</w:t>
      </w:r>
      <w:r>
        <w:rPr>
          <w:rFonts w:ascii="Times New Roman" w:cs="Times New Roman" w:eastAsia="Times New Roman" w:hAnsi="Times New Roman"/>
          <w:sz w:val="22"/>
          <w:szCs w:val="22"/>
          <w:color w:val="000000"/>
        </w:rPr>
        <w:t>. The provisions of this Credit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2"/>
          <w:szCs w:val="22"/>
          <w:u w:val="single" w:color="auto"/>
          <w:color w:val="000000"/>
        </w:rPr>
        <w:t>Section 10.06(b)</w:t>
      </w:r>
      <w:r>
        <w:rPr>
          <w:rFonts w:ascii="Times New Roman" w:cs="Times New Roman" w:eastAsia="Times New Roman" w:hAnsi="Times New Roman"/>
          <w:sz w:val="22"/>
          <w:szCs w:val="22"/>
          <w:color w:val="000000"/>
        </w:rPr>
        <w:t xml:space="preserve">, (ii) by way of participation in accordance with the provisions of </w:t>
      </w:r>
      <w:r>
        <w:rPr>
          <w:rFonts w:ascii="Times New Roman" w:cs="Times New Roman" w:eastAsia="Times New Roman" w:hAnsi="Times New Roman"/>
          <w:sz w:val="22"/>
          <w:szCs w:val="22"/>
          <w:u w:val="single" w:color="auto"/>
          <w:color w:val="000000"/>
        </w:rPr>
        <w:t>Section 10.06(d)</w:t>
      </w:r>
      <w:r>
        <w:rPr>
          <w:rFonts w:ascii="Times New Roman" w:cs="Times New Roman" w:eastAsia="Times New Roman" w:hAnsi="Times New Roman"/>
          <w:sz w:val="22"/>
          <w:szCs w:val="22"/>
          <w:color w:val="000000"/>
        </w:rPr>
        <w:t xml:space="preserve">, (iii) by way of pledge or assignment of a security interest subject to the restrictions of </w:t>
      </w:r>
      <w:r>
        <w:rPr>
          <w:rFonts w:ascii="Times New Roman" w:cs="Times New Roman" w:eastAsia="Times New Roman" w:hAnsi="Times New Roman"/>
          <w:sz w:val="22"/>
          <w:szCs w:val="22"/>
          <w:u w:val="single" w:color="auto"/>
          <w:color w:val="000000"/>
        </w:rPr>
        <w:t>Section 10.06(f)</w:t>
      </w:r>
      <w:r>
        <w:rPr>
          <w:rFonts w:ascii="Times New Roman" w:cs="Times New Roman" w:eastAsia="Times New Roman" w:hAnsi="Times New Roman"/>
          <w:sz w:val="22"/>
          <w:szCs w:val="22"/>
          <w:color w:val="000000"/>
        </w:rPr>
        <w:t xml:space="preserve">, or (iv) to an SPC in accordance with the provisions of </w:t>
      </w:r>
      <w:r>
        <w:rPr>
          <w:rFonts w:ascii="Times New Roman" w:cs="Times New Roman" w:eastAsia="Times New Roman" w:hAnsi="Times New Roman"/>
          <w:sz w:val="22"/>
          <w:szCs w:val="22"/>
          <w:u w:val="single" w:color="auto"/>
          <w:color w:val="000000"/>
        </w:rPr>
        <w:t>Section 10.06(h)</w:t>
      </w:r>
      <w:r>
        <w:rPr>
          <w:rFonts w:ascii="Times New Roman" w:cs="Times New Roman" w:eastAsia="Times New Roman" w:hAnsi="Times New Roman"/>
          <w:sz w:val="22"/>
          <w:szCs w:val="22"/>
          <w:color w:val="000000"/>
        </w:rPr>
        <w:t xml:space="preserve">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-1836420</wp:posOffset>
            </wp:positionV>
            <wp:extent cx="1534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jc w:val="both"/>
        <w:ind w:firstLine="1304"/>
        <w:spacing w:after="0" w:line="247" w:lineRule="auto"/>
        <w:tabs>
          <w:tab w:leader="none" w:pos="1764" w:val="left"/>
        </w:tabs>
        <w:numPr>
          <w:ilvl w:val="0"/>
          <w:numId w:val="2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(other than the Swingline Lender with respect to the Swingline Loans) may at any time assign to one or more Eligible Assignees all or a portion of its rights and obligations under this Credit Agreement (including all or a portion of its Commitment and the Loans (including for purposes of this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participations in L/C Obligations)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86" w:lineRule="exact"/>
        <w:rPr>
          <w:sz w:val="20"/>
          <w:szCs w:val="20"/>
          <w:color w:val="auto"/>
        </w:rPr>
      </w:pPr>
    </w:p>
    <w:p>
      <w:pPr>
        <w:ind w:left="1720" w:hanging="416"/>
        <w:spacing w:after="0"/>
        <w:tabs>
          <w:tab w:leader="none" w:pos="1720" w:val="left"/>
        </w:tabs>
        <w:numPr>
          <w:ilvl w:val="0"/>
          <w:numId w:val="2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010000"/>
        </w:rPr>
      </w:pPr>
    </w:p>
    <w:p>
      <w:pPr>
        <w:jc w:val="both"/>
        <w:ind w:left="1300" w:firstLine="1300"/>
        <w:spacing w:after="0" w:line="275" w:lineRule="auto"/>
        <w:tabs>
          <w:tab w:leader="none" w:pos="3271" w:val="left"/>
        </w:tabs>
        <w:numPr>
          <w:ilvl w:val="1"/>
          <w:numId w:val="2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55" w:lineRule="exact"/>
        <w:rPr>
          <w:rFonts w:ascii="Times New Roman" w:cs="Times New Roman" w:eastAsia="Times New Roman" w:hAnsi="Times New Roman"/>
          <w:sz w:val="21"/>
          <w:szCs w:val="21"/>
          <w:color w:val="010000"/>
        </w:rPr>
      </w:pPr>
    </w:p>
    <w:p>
      <w:pPr>
        <w:jc w:val="both"/>
        <w:ind w:left="1300" w:firstLine="1300"/>
        <w:spacing w:after="0" w:line="250" w:lineRule="auto"/>
        <w:tabs>
          <w:tab w:leader="none" w:pos="3128" w:val="left"/>
        </w:tabs>
        <w:numPr>
          <w:ilvl w:val="1"/>
          <w:numId w:val="2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is specified in the Assignment and Assumption, as of the Trade Date, shall not be less than $5,000,000, in the case of any assignment in respect of the Revolving Credit Facility or Term A Facilities, or $1,000,000, in the case of any assignment in respect of the Incremental Term Facility, if any, unless such assignment constitutes the entire remaining amount or unless each of the Administrative Agent and, so long as no Event of Default has occurred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09" w:name="page210"/>
    <w:bookmarkEnd w:id="209"/>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continuing, the Company otherwise consents (each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provided further, that, in any case, unless an Event of Default has occurred and is continuing, after giving effect to an assignment under any Facility, the aggregate amount of the Facility held by such assigning Lender shall not be less than $1,000,000, in the case of any assignment in respect of the Term A Facilities, Revolving Credit Facility or Incremental Term Facility, if any.</w:t>
      </w:r>
    </w:p>
    <w:p>
      <w:pPr>
        <w:spacing w:after="0" w:line="182" w:lineRule="exact"/>
        <w:rPr>
          <w:sz w:val="20"/>
          <w:szCs w:val="20"/>
          <w:color w:val="auto"/>
        </w:rPr>
      </w:pPr>
    </w:p>
    <w:p>
      <w:pPr>
        <w:jc w:val="both"/>
        <w:ind w:left="660" w:firstLine="644"/>
        <w:spacing w:after="0" w:line="256" w:lineRule="auto"/>
        <w:tabs>
          <w:tab w:leader="none" w:pos="1788" w:val="left"/>
        </w:tabs>
        <w:numPr>
          <w:ilvl w:val="0"/>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Credit Agreement with respect to the Loans or the Commitment assigned, except that this clause (ii) shall not prohibit any Lender from assigning all or a portion of its rights and obligations among separate Facilities on a non-pro rata basis.</w:t>
      </w:r>
    </w:p>
    <w:p>
      <w:pPr>
        <w:spacing w:after="0" w:line="176" w:lineRule="exact"/>
        <w:rPr>
          <w:rFonts w:ascii="Times New Roman" w:cs="Times New Roman" w:eastAsia="Times New Roman" w:hAnsi="Times New Roman"/>
          <w:sz w:val="22"/>
          <w:szCs w:val="22"/>
          <w:color w:val="010000"/>
        </w:rPr>
      </w:pPr>
    </w:p>
    <w:p>
      <w:pPr>
        <w:ind w:left="660" w:right="20" w:firstLine="644"/>
        <w:spacing w:after="0" w:line="271" w:lineRule="auto"/>
        <w:tabs>
          <w:tab w:leader="none" w:pos="1983" w:val="left"/>
        </w:tabs>
        <w:numPr>
          <w:ilvl w:val="0"/>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No consent shall be required for any assignment except to the extent required by subsection (b)(i)(B) of this Section and, in addition:</w:t>
      </w:r>
    </w:p>
    <w:p>
      <w:pPr>
        <w:spacing w:after="0" w:line="157" w:lineRule="exact"/>
        <w:rPr>
          <w:rFonts w:ascii="Times New Roman" w:cs="Times New Roman" w:eastAsia="Times New Roman" w:hAnsi="Times New Roman"/>
          <w:sz w:val="22"/>
          <w:szCs w:val="22"/>
          <w:color w:val="010000"/>
        </w:rPr>
      </w:pPr>
    </w:p>
    <w:p>
      <w:pPr>
        <w:jc w:val="both"/>
        <w:ind w:left="1300" w:firstLine="1300"/>
        <w:spacing w:after="0" w:line="255" w:lineRule="auto"/>
        <w:tabs>
          <w:tab w:leader="none" w:pos="3142" w:val="left"/>
        </w:tabs>
        <w:numPr>
          <w:ilvl w:val="1"/>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consent of the Company (such consent not to be unreasonably withheld or delayed) shall be required unless (1) an Event of Default has occurred and is continuing at the time of such assignment or</w:t>
      </w:r>
    </w:p>
    <w:p>
      <w:pPr>
        <w:spacing w:after="0" w:line="1" w:lineRule="exact"/>
        <w:rPr>
          <w:rFonts w:ascii="Times New Roman" w:cs="Times New Roman" w:eastAsia="Times New Roman" w:hAnsi="Times New Roman"/>
          <w:sz w:val="22"/>
          <w:szCs w:val="22"/>
          <w:color w:val="010000"/>
        </w:rPr>
      </w:pPr>
    </w:p>
    <w:p>
      <w:pPr>
        <w:jc w:val="both"/>
        <w:ind w:left="1300"/>
        <w:spacing w:after="0" w:line="25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(2) such assignment is to a Lender, an Affiliate of a Lender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the Company shall be deemed to have consented to any assignment of Term Loans unless it shall object thereto by written notice to the Administrative Agent within seven (7) Business Days after having received written notice thereof;</w:t>
      </w:r>
    </w:p>
    <w:p>
      <w:pPr>
        <w:spacing w:after="0" w:line="179" w:lineRule="exact"/>
        <w:rPr>
          <w:rFonts w:ascii="Times New Roman" w:cs="Times New Roman" w:eastAsia="Times New Roman" w:hAnsi="Times New Roman"/>
          <w:sz w:val="22"/>
          <w:szCs w:val="22"/>
          <w:color w:val="010000"/>
        </w:rPr>
      </w:pPr>
    </w:p>
    <w:p>
      <w:pPr>
        <w:jc w:val="both"/>
        <w:ind w:left="1300" w:firstLine="1300"/>
        <w:spacing w:after="0" w:line="251" w:lineRule="auto"/>
        <w:tabs>
          <w:tab w:leader="none" w:pos="3189" w:val="left"/>
        </w:tabs>
        <w:numPr>
          <w:ilvl w:val="1"/>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any Term Commitment or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or the Borrower or any of its Affiliates or Subsidiaries; and</w:t>
      </w:r>
    </w:p>
    <w:p>
      <w:pPr>
        <w:spacing w:after="0" w:line="181" w:lineRule="exact"/>
        <w:rPr>
          <w:rFonts w:ascii="Times New Roman" w:cs="Times New Roman" w:eastAsia="Times New Roman" w:hAnsi="Times New Roman"/>
          <w:sz w:val="22"/>
          <w:szCs w:val="22"/>
          <w:color w:val="010000"/>
        </w:rPr>
      </w:pPr>
    </w:p>
    <w:p>
      <w:pPr>
        <w:jc w:val="both"/>
        <w:ind w:left="1300" w:firstLine="1300"/>
        <w:spacing w:after="0" w:line="263" w:lineRule="auto"/>
        <w:tabs>
          <w:tab w:leader="none" w:pos="3193" w:val="left"/>
        </w:tabs>
        <w:numPr>
          <w:ilvl w:val="1"/>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consent of each L/C Issuer (such consent not to be unreasonably withheld or delayed) shall be required for any assignment that increases the obligation of the assignee to participate in exposure under one or more Letters of Credit (whether or not then outstanding).</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71" w:val="left"/>
        </w:tabs>
        <w:numPr>
          <w:ilvl w:val="0"/>
          <w:numId w:val="2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(which, for the avoidance of doubt shall exclude the Company in its capacity of granting consent to an assignment pursuant to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shall execute and deliver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0" w:name="page211"/>
    <w:bookmarkEnd w:id="210"/>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Administrative Agent an Assignment and Assumption, together with a processing and recordation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the processing and recordation fee;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80" w:lineRule="exact"/>
        <w:rPr>
          <w:sz w:val="20"/>
          <w:szCs w:val="20"/>
          <w:color w:val="auto"/>
        </w:rPr>
      </w:pPr>
    </w:p>
    <w:p>
      <w:pPr>
        <w:ind w:left="660" w:firstLine="644"/>
        <w:spacing w:after="0" w:line="271" w:lineRule="auto"/>
        <w:tabs>
          <w:tab w:leader="none" w:pos="1884" w:val="left"/>
        </w:tabs>
        <w:numPr>
          <w:ilvl w:val="0"/>
          <w:numId w:val="2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 or a holding company, investment vehicle or trust for, or owned and operated for the primary benefit of, a natural person.</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903" w:val="left"/>
        </w:tabs>
        <w:numPr>
          <w:ilvl w:val="0"/>
          <w:numId w:val="2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to (A) the Borrower or any of the Borrower’s Affiliates or Subsidiaries except, solely with respect to Term Loans, as permitted by this Section or (B) any Defaulting Lender or any of its Subsidiaries, or any Person who, upon becoming a Lender hereunder, would constitute a Defaulting Lender or a Subsidiary thereof.</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subsection (c) of this Section, from and after the effective date specified in each Assignment and Assumption, the Eligible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Credit Agreement that does not comply with this subsection shall be treated for purposes of this Credit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304"/>
        <w:spacing w:after="0" w:line="250" w:lineRule="auto"/>
        <w:tabs>
          <w:tab w:leader="none" w:pos="1752"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Credit Agreement, notwithstanding notice to the contrary. The Register shall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for inspection by the Borrower and any Lender at any reasonable time and from time to time upon reasonable prior notice.</w:t>
      </w:r>
    </w:p>
    <w:p>
      <w:pPr>
        <w:spacing w:after="0" w:line="220" w:lineRule="exact"/>
        <w:rPr>
          <w:sz w:val="20"/>
          <w:szCs w:val="20"/>
          <w:color w:val="auto"/>
        </w:rPr>
      </w:pPr>
    </w:p>
    <w:p>
      <w:pPr>
        <w:jc w:val="both"/>
        <w:ind w:firstLine="1304"/>
        <w:spacing w:after="0" w:line="246" w:lineRule="auto"/>
        <w:tabs>
          <w:tab w:leader="none" w:pos="1858" w:val="left"/>
        </w:tabs>
        <w:numPr>
          <w:ilvl w:val="0"/>
          <w:numId w:val="2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the Borrower, any L/C Issuer or the Administrative Agent, sell participations to any Person (other than a natural person (or a holding company, investment vehicle or trust for, or owned and operated for the primary benefit of, a natural person), any Defaulting Lender or the Borrower or any of the Borrower’s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Credit Agreement (including all or a portion of its Commitment and/or the Loans (including such Lender’s participations in L/C Obligations)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Credit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Credit Agreement. 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clauses (b), (c), (d), (f) or (g) of the first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affects such Participant. Subject to subsection (e) of this Section, the Borrower agrees that each Participant shall be entitled to the benefits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Participant agrees to be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as though it were a Lender. Each Lender that sells a participation, acting solely for this purpose as a non-fiduciary agent of the Borrower, shall maintain a register analogous to the Register (a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a Participant Register to any Person (including the identity of any Participant or any information relating to a Participant’s interest in the rights and/or obligations under this Credit Agreement) except to the extent that such disclosure is necessary to establish that such interest is in registered form under Treasury Regulations Section 5f.103-1(c). For the avoidance of doubt, the Administrative Agent, in its capacity as Administrative Agent, shall have no obligation to maintain a Participant Register.</w:t>
      </w:r>
    </w:p>
    <w:p>
      <w:pPr>
        <w:spacing w:after="0" w:line="202"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65" w:val="left"/>
        </w:tabs>
        <w:numPr>
          <w:ilvl w:val="0"/>
          <w:numId w:val="2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Limitations upon Participant Rights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unless the Company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as though it were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2" w:name="page213"/>
    <w:bookmarkEnd w:id="212"/>
    <w:p>
      <w:pPr>
        <w:jc w:val="both"/>
        <w:ind w:firstLine="1304"/>
        <w:spacing w:after="0" w:line="250" w:lineRule="auto"/>
        <w:tabs>
          <w:tab w:leader="none" w:pos="1768" w:val="left"/>
        </w:tabs>
        <w:numPr>
          <w:ilvl w:val="1"/>
          <w:numId w:val="2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Credit Agreement (including under its Note, if any) to secure obligations of such Lender, including any pledge or assignment to secure obligations to a Federal Reserve Bank or other central banking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94"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99" w:val="left"/>
        </w:tabs>
        <w:numPr>
          <w:ilvl w:val="1"/>
          <w:numId w:val="2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rFonts w:ascii="Times New Roman" w:cs="Times New Roman" w:eastAsia="Times New Roman" w:hAnsi="Times New Roman"/>
          <w:sz w:val="22"/>
          <w:szCs w:val="22"/>
          <w:color w:val="010000"/>
        </w:rPr>
      </w:pPr>
    </w:p>
    <w:p>
      <w:pPr>
        <w:jc w:val="both"/>
        <w:ind w:firstLine="1304"/>
        <w:spacing w:after="0" w:line="258" w:lineRule="auto"/>
        <w:tabs>
          <w:tab w:leader="none" w:pos="1764" w:val="left"/>
        </w:tabs>
        <w:numPr>
          <w:ilvl w:val="1"/>
          <w:numId w:val="2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Special Purpose Funding Vehicles</w:t>
      </w:r>
      <w:r>
        <w:rPr>
          <w:rFonts w:ascii="Times New Roman" w:cs="Times New Roman" w:eastAsia="Times New Roman" w:hAnsi="Times New Roman"/>
          <w:sz w:val="21"/>
          <w:szCs w:val="21"/>
          <w:color w:val="auto"/>
        </w:rPr>
        <w:t>. Notwithstanding anything to the contrary contained herein, any Lender (a “</w:t>
      </w:r>
      <w:r>
        <w:rPr>
          <w:rFonts w:ascii="Times New Roman" w:cs="Times New Roman" w:eastAsia="Times New Roman" w:hAnsi="Times New Roman"/>
          <w:sz w:val="21"/>
          <w:szCs w:val="21"/>
          <w:u w:val="single" w:color="auto"/>
          <w:color w:val="auto"/>
        </w:rPr>
        <w:t>Granting Lender</w:t>
      </w:r>
      <w:r>
        <w:rPr>
          <w:rFonts w:ascii="Times New Roman" w:cs="Times New Roman" w:eastAsia="Times New Roman" w:hAnsi="Times New Roman"/>
          <w:sz w:val="21"/>
          <w:szCs w:val="21"/>
          <w:color w:val="auto"/>
        </w:rPr>
        <w:t>”) may grant to a special purpose funding vehicle identified as such in writing from time to time by the Granting Lender to the Administrative Agent and the Company (an “</w:t>
      </w:r>
      <w:r>
        <w:rPr>
          <w:rFonts w:ascii="Times New Roman" w:cs="Times New Roman" w:eastAsia="Times New Roman" w:hAnsi="Times New Roman"/>
          <w:sz w:val="21"/>
          <w:szCs w:val="21"/>
          <w:u w:val="single" w:color="auto"/>
          <w:color w:val="auto"/>
        </w:rPr>
        <w:t>SPC</w:t>
      </w:r>
      <w:r>
        <w:rPr>
          <w:rFonts w:ascii="Times New Roman" w:cs="Times New Roman" w:eastAsia="Times New Roman" w:hAnsi="Times New Roman"/>
          <w:sz w:val="21"/>
          <w:szCs w:val="21"/>
          <w:color w:val="auto"/>
        </w:rPr>
        <w:t xml:space="preserve">”) the option to provide all or any part of any Loan that such Granting Lender would otherwise be obligated to make pursuant to this Credit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 w:cs="Times New Roman" w:eastAsia="Times New Roman" w:hAnsi="Times New Roman"/>
          <w:sz w:val="21"/>
          <w:szCs w:val="21"/>
          <w:u w:val="single" w:color="auto"/>
          <w:color w:val="auto"/>
        </w:rPr>
        <w:t>Section 2.11(b)(ii)</w:t>
      </w:r>
      <w:r>
        <w:rPr>
          <w:rFonts w:ascii="Times New Roman" w:cs="Times New Roman" w:eastAsia="Times New Roman" w:hAnsi="Times New Roman"/>
          <w:sz w:val="21"/>
          <w:szCs w:val="21"/>
          <w:color w:val="auto"/>
        </w:rPr>
        <w:t xml:space="preserve">. Each party hereto hereby agrees that (i) neither the grant to any SPC nor the exercise by any SPC of such option shall increase the costs or expenses or otherwise increase or change the obligations of the Borrower under this Credit Agreement (including its obligations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(ii) no SPC shall be liable for any indemnity or similar payment obligation under this Credit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Credit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$2,500, assign all or any portion of its right to receive payment with respect to any Loan to the Granting Lender and</w:t>
      </w:r>
    </w:p>
    <w:p>
      <w:pPr>
        <w:spacing w:after="0" w:line="2" w:lineRule="exact"/>
        <w:rPr>
          <w:rFonts w:ascii="Times New Roman" w:cs="Times New Roman" w:eastAsia="Times New Roman" w:hAnsi="Times New Roman"/>
          <w:sz w:val="21"/>
          <w:szCs w:val="21"/>
          <w:color w:val="010000"/>
        </w:rPr>
      </w:pPr>
    </w:p>
    <w:p>
      <w:pPr>
        <w:ind w:firstLine="8"/>
        <w:spacing w:after="0" w:line="261" w:lineRule="auto"/>
        <w:tabs>
          <w:tab w:leader="none" w:pos="32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3" w:name="page214"/>
    <w:bookmarkEnd w:id="213"/>
    <w:p>
      <w:pPr>
        <w:jc w:val="both"/>
        <w:ind w:firstLine="1304"/>
        <w:spacing w:after="0" w:line="247" w:lineRule="auto"/>
        <w:tabs>
          <w:tab w:leader="none" w:pos="1756"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Resignation of JPMCB as Swingline Lender and an L/C Issuer after Assignment</w:t>
      </w:r>
      <w:r>
        <w:rPr>
          <w:rFonts w:ascii="Times New Roman" w:cs="Times New Roman" w:eastAsia="Times New Roman" w:hAnsi="Times New Roman"/>
          <w:sz w:val="22"/>
          <w:szCs w:val="22"/>
          <w:color w:val="auto"/>
        </w:rPr>
        <w:t xml:space="preserve">. Notwithstanding anything to the contrary contained herein, if at any time JPMCB assigns all of its Revolving Credit Commitments and Revolving Credit Loans pursuant to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JPMCB may, upon 30 days’ notice to the Company and the Lenders, resign as Swingline Lender or an L/C Issuer. In the event of any such resignation as Swingline Lender or an L/C Issuer, the Company shall be entitled to appoint from among the Lenders a successor Swingline Lender or L/C Issuer, as the case may be,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Company to appoint any such successor shall affect the resignation of JPMCB as Swingline Lender or an L/C Issuer. If JPMCB resigns as Swingline Lender, it shall retain all the rights, powers, privileges and duties of the Swingline Lender hereunder with respect to all Swingline Loans outstanding as of the effective date of its resignation as Swingline Lender and all Obligations with respect thereto (including the right to require the Lenders to make Base Rate Loans or fund Mandatory Borrowings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JPMCB resigns as an L/C Issuer, it shall retain all the rights, powers, privileges and duties of an L/C Issuer hereunder with respect to all Letters of Credit issued by 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Upon the appointment and acceptance of a successor L/C Issuer, (a) such successor shall succeed to and become vested with all of the rights, powers, privileges and duties of JPMCB in its capacity as a retiring L/C Issuer, and (b) the successor L/C Issuer shall issue letters of credit in substitution for the Letters of Credit, if any, issued by such retiring L/C Issuer outstanding at the time of such succession or make other arrangements satisfactory to JPMCB to effectively assume the obligations of JPMCB with respect to such Letters of Credit.</w:t>
      </w:r>
    </w:p>
    <w:p>
      <w:pPr>
        <w:spacing w:after="0" w:line="187"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716"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Resignation of Bank of America as an L/C Issuer after Assignment</w:t>
      </w:r>
      <w:r>
        <w:rPr>
          <w:rFonts w:ascii="Times New Roman" w:cs="Times New Roman" w:eastAsia="Times New Roman" w:hAnsi="Times New Roman"/>
          <w:sz w:val="22"/>
          <w:szCs w:val="22"/>
          <w:color w:val="auto"/>
        </w:rPr>
        <w:t xml:space="preserve">. Notwithstanding anything to the contrary contained herein, if at any time Bank of America assigns all of its Revolving Credit Commitments and Revolving Credit Loans pursuant to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Bank of America may, upon 30 days’ notice to the Company and the Lenders, resign as an L/C Issuer. In the event of any such resignation as an L/C Issuer, the Company shall be entitled to appoint from among the Lenders a successor L/C Issuer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Company to appoint any such successor shall affect the resignation of Bank of America as an L/C Issuer. If Bank of America resigns as an L/C Issuer, it shall retain all the rights, powers, privileges and duties of an L/C Issuer hereunder with respect to all Letters of Credit issued by 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Upon the appointment and acceptance of a successor L/C Issuer, (a) such successor shall succeed to and become vested with all of the rights, powers, privileges and duties of Bank of America in its capacity as a retiring L/C Issuer, and (b) the successor L/C Issuer shall issue letters of credit in substitution for the Letters of Credit, if any, issued by such retiring L/C Issuer outstanding at the time of such succession or make other arrangements satisfactory to Bank of America to effectively assume the obligations of Bank of America with respect to such Letters of Credit.</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Section 10.07 </w:t>
      </w:r>
      <w:r>
        <w:rPr>
          <w:rFonts w:ascii="Times New Roman" w:cs="Times New Roman" w:eastAsia="Times New Roman" w:hAnsi="Times New Roman"/>
          <w:sz w:val="22"/>
          <w:szCs w:val="22"/>
          <w:color w:val="000000"/>
        </w:rPr>
        <w:t>Right of Setoff. If an Event of Default shall have occurred and be continuing, each Lender,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L/C Issuer and each of their respective Affiliates is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-215900</wp:posOffset>
            </wp:positionV>
            <wp:extent cx="1000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4" w:name="page215"/>
    <w:bookmarkEnd w:id="21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Credit Agreement or any other Loan Document to such Lender or such L/C Issuer, irrespective of whether or not such Lender or such L/C Issuer shall have made any demand under this Credit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1"/>
          <w:szCs w:val="21"/>
          <w:color w:val="010000"/>
        </w:rPr>
        <w:t xml:space="preserve">Section 10.08 </w:t>
      </w:r>
      <w:r>
        <w:rPr>
          <w:rFonts w:ascii="Times New Roman" w:cs="Times New Roman" w:eastAsia="Times New Roman" w:hAnsi="Times New Roman"/>
          <w:sz w:val="21"/>
          <w:szCs w:val="21"/>
          <w:color w:val="000000"/>
        </w:rPr>
        <w:t>Interest Rate Limitation. Notwithstanding anything to the contrary contained in any Loan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1"/>
          <w:szCs w:val="21"/>
          <w:u w:val="single" w:color="auto"/>
          <w:color w:val="000000"/>
        </w:rPr>
        <w:t>Maximum Rate</w:t>
      </w:r>
      <w:r>
        <w:rPr>
          <w:rFonts w:ascii="Times New Roman" w:cs="Times New Roman" w:eastAsia="Times New Roman" w:hAnsi="Times New Roman"/>
          <w:sz w:val="21"/>
          <w:szCs w:val="21"/>
          <w:color w:val="00000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-854075</wp:posOffset>
            </wp:positionV>
            <wp:extent cx="16446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jc w:val="both"/>
        <w:ind w:firstLine="8"/>
        <w:spacing w:after="0" w:line="243" w:lineRule="auto"/>
        <w:tabs>
          <w:tab w:leader="none" w:pos="32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 w:lineRule="exact"/>
        <w:rPr>
          <w:rFonts w:ascii="Times New Roman" w:cs="Times New Roman" w:eastAsia="Times New Roman" w:hAnsi="Times New Roman"/>
          <w:sz w:val="22"/>
          <w:szCs w:val="22"/>
          <w:color w:val="auto"/>
        </w:rPr>
      </w:pPr>
    </w:p>
    <w:p>
      <w:pPr>
        <w:jc w:val="both"/>
        <w:ind w:firstLine="1296"/>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10000"/>
        </w:rPr>
        <w:t xml:space="preserve">Section 10.09 </w:t>
      </w:r>
      <w:r>
        <w:rPr>
          <w:rFonts w:ascii="Times New Roman" w:cs="Times New Roman" w:eastAsia="Times New Roman" w:hAnsi="Times New Roman"/>
          <w:sz w:val="22"/>
          <w:szCs w:val="22"/>
          <w:color w:val="000000"/>
        </w:rPr>
        <w:t>Counterparts; Integration; Effectiveness. (dd) This Credit Agreement and the other Loan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Documents constitute the entire contract among the parties relating to the subject matter hereof and, except to the extent provided in </w:t>
      </w:r>
      <w:r>
        <w:rPr>
          <w:rFonts w:ascii="Times New Roman" w:cs="Times New Roman" w:eastAsia="Times New Roman" w:hAnsi="Times New Roman"/>
          <w:sz w:val="22"/>
          <w:szCs w:val="22"/>
          <w:u w:val="single" w:color="auto"/>
          <w:color w:val="000000"/>
        </w:rPr>
        <w:t>Section 10.21</w:t>
      </w:r>
      <w:r>
        <w:rPr>
          <w:rFonts w:ascii="Times New Roman" w:cs="Times New Roman" w:eastAsia="Times New Roman" w:hAnsi="Times New Roman"/>
          <w:sz w:val="22"/>
          <w:szCs w:val="22"/>
          <w:color w:val="000000"/>
        </w:rPr>
        <w:t xml:space="preserve">,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000000"/>
        </w:rPr>
        <w:t>Section 5.01</w:t>
      </w:r>
      <w:r>
        <w:rPr>
          <w:rFonts w:ascii="Times New Roman" w:cs="Times New Roman" w:eastAsia="Times New Roman" w:hAnsi="Times New Roman"/>
          <w:sz w:val="22"/>
          <w:szCs w:val="22"/>
          <w:color w:val="000000"/>
        </w:rPr>
        <w:t>, this Credit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 w:lineRule="exact"/>
        <w:rPr>
          <w:rFonts w:ascii="Times New Roman" w:cs="Times New Roman" w:eastAsia="Times New Roman" w:hAnsi="Times New Roman"/>
          <w:sz w:val="22"/>
          <w:szCs w:val="22"/>
          <w:color w:val="auto"/>
        </w:rPr>
      </w:pPr>
    </w:p>
    <w:p>
      <w:pPr>
        <w:jc w:val="both"/>
        <w:ind w:firstLine="1304"/>
        <w:spacing w:after="0" w:line="245" w:lineRule="auto"/>
        <w:tabs>
          <w:tab w:leader="none" w:pos="1846" w:val="left"/>
        </w:tabs>
        <w:numPr>
          <w:ilvl w:val="1"/>
          <w:numId w:val="2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Delivery of an executed counterpart of a signature page of (x) this Credit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certificate, request, statement, disclosure or authorization related to this Credit Agreement, any other Loan Document and/or the transactions contemplated hereby and/or thereby (each an “</w:t>
      </w:r>
      <w:r>
        <w:rPr>
          <w:rFonts w:ascii="Times New Roman" w:cs="Times New Roman" w:eastAsia="Times New Roman" w:hAnsi="Times New Roman"/>
          <w:sz w:val="22"/>
          <w:szCs w:val="22"/>
          <w:u w:val="single" w:color="auto"/>
          <w:color w:val="auto"/>
        </w:rPr>
        <w:t>Ancillary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w:t>
      </w:r>
      <w:r>
        <w:rPr>
          <w:rFonts w:ascii="Times New Roman" w:cs="Times New Roman" w:eastAsia="Times New Roman" w:hAnsi="Times New Roman"/>
          <w:sz w:val="22"/>
          <w:szCs w:val="22"/>
          <w:color w:val="auto"/>
        </w:rPr>
        <w:t>”) that is an Electronic Signature transmitted by telecopy, emailed pdf. or any other electronic means that reproduces an image of an actual executed signature page shall be effective as delivery of a manually executed counterpart of this Credit Agreement, such other Loan Document or such Ancillary Document, as applicable. The words “execution,” “signed,” “signature,” “delivery,” and words of like import in or relating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-2166620</wp:posOffset>
            </wp:positionV>
            <wp:extent cx="2551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5" w:name="page216"/>
    <w:bookmarkEnd w:id="215"/>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Credit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(A)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(B) upon the request of the Administrative Agent or any Lender, any Electronic Signature shall be followed, within a reasonable time period, by a manually executed counterpart. Without limiting the generality of the foregoing, each Loan Party hereby (i) agrees that, for all purposes, including, without limitation, in connection with any workout, restructuring, enforcement of remedies, bankruptcy proceedings or litigation among the Administrative Agent, the Lenders and any Loan Party, Electronic Signatures transmitted by telecopy, emailed pdf. or any other electronic means that reproduces an image of an actual executed signature page and/or any electronic images of this Credit Agreement, any other Loan Document and/or any Ancillary Document shall have the same legal effect, validity and enforceability as any paper original, (ii) the Administrative Agent and each of the Lenders may, at their option, create one or more copies of this Credit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Credit Agreement, any other Loan Document and/or any Ancillary Document based solely on the lack of paper original copies of this Credit Agreement, such other Loan Document and/or such Ancillary Document, respectively, including with respect to any signature pages thereto and (iv) waives any claim against the Administrative Agent and any Lender, and any Related Party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 except, in each case, to the extent that a court of competent jurisdiction determines in a final and nonappealable judgment that the Administrative Agent or any Lender acted with gross negligence or willful misconduct.</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010000"/>
        </w:rPr>
        <w:t xml:space="preserve">Section 10.10 </w:t>
      </w:r>
      <w:r>
        <w:rPr>
          <w:rFonts w:ascii="Times New Roman" w:cs="Times New Roman" w:eastAsia="Times New Roman" w:hAnsi="Times New Roman"/>
          <w:sz w:val="22"/>
          <w:szCs w:val="22"/>
          <w:color w:val="000000"/>
        </w:rPr>
        <w:t>Survival of Representations and Warranties. All representations and warranties made hereunder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-538480</wp:posOffset>
            </wp:positionV>
            <wp:extent cx="26123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6" w:name="page217"/>
    <w:bookmarkEnd w:id="216"/>
    <w:p>
      <w:pPr>
        <w:jc w:val="both"/>
        <w:spacing w:after="0" w:line="249" w:lineRule="auto"/>
        <w:rPr>
          <w:sz w:val="20"/>
          <w:szCs w:val="20"/>
          <w:color w:val="auto"/>
        </w:rPr>
      </w:pPr>
      <w:r>
        <w:rPr>
          <w:rFonts w:ascii="Times New Roman" w:cs="Times New Roman" w:eastAsia="Times New Roman" w:hAnsi="Times New Roman"/>
          <w:sz w:val="22"/>
          <w:szCs w:val="22"/>
          <w:color w:val="auto"/>
        </w:rPr>
        <w:t>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10.11 </w:t>
      </w:r>
      <w:r>
        <w:rPr>
          <w:rFonts w:ascii="Times New Roman" w:cs="Times New Roman" w:eastAsia="Times New Roman" w:hAnsi="Times New Roman"/>
          <w:sz w:val="22"/>
          <w:szCs w:val="22"/>
          <w:color w:val="000000"/>
        </w:rPr>
        <w:t>Severability. If any provision of this Credit Agreement or the other Loan Documents is held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illegal, invalid or unenforceable, (a) the legality, validity and enforceability of the remaining provisions of this Credit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-852805</wp:posOffset>
            </wp:positionV>
            <wp:extent cx="8083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jc w:val="both"/>
        <w:ind w:firstLine="1296"/>
        <w:spacing w:after="0" w:line="257" w:lineRule="auto"/>
        <w:rPr>
          <w:sz w:val="20"/>
          <w:szCs w:val="20"/>
          <w:color w:val="auto"/>
        </w:rPr>
      </w:pPr>
      <w:r>
        <w:rPr>
          <w:rFonts w:ascii="Times New Roman" w:cs="Times New Roman" w:eastAsia="Times New Roman" w:hAnsi="Times New Roman"/>
          <w:sz w:val="21"/>
          <w:szCs w:val="21"/>
          <w:color w:val="010000"/>
        </w:rPr>
        <w:t xml:space="preserve">Section 10.12 </w:t>
      </w:r>
      <w:r>
        <w:rPr>
          <w:rFonts w:ascii="Times New Roman" w:cs="Times New Roman" w:eastAsia="Times New Roman" w:hAnsi="Times New Roman"/>
          <w:sz w:val="21"/>
          <w:szCs w:val="21"/>
          <w:color w:val="000000"/>
        </w:rPr>
        <w:t>Replacement of Lenders. If any Lender requests compensation under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3.04</w:t>
      </w:r>
      <w:r>
        <w:rPr>
          <w:rFonts w:ascii="Times New Roman" w:cs="Times New Roman" w:eastAsia="Times New Roman" w:hAnsi="Times New Roman"/>
          <w:sz w:val="21"/>
          <w:szCs w:val="21"/>
          <w:color w:val="000000"/>
        </w:rPr>
        <w:t>, or if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000000"/>
        </w:rPr>
        <w:t>Section 3.01</w:t>
      </w:r>
      <w:r>
        <w:rPr>
          <w:rFonts w:ascii="Times New Roman" w:cs="Times New Roman" w:eastAsia="Times New Roman" w:hAnsi="Times New Roman"/>
          <w:sz w:val="21"/>
          <w:szCs w:val="21"/>
          <w:color w:val="000000"/>
        </w:rPr>
        <w:t xml:space="preserve">, or if any Lender gives a notice pursuant to </w:t>
      </w:r>
      <w:r>
        <w:rPr>
          <w:rFonts w:ascii="Times New Roman" w:cs="Times New Roman" w:eastAsia="Times New Roman" w:hAnsi="Times New Roman"/>
          <w:sz w:val="21"/>
          <w:szCs w:val="21"/>
          <w:u w:val="single" w:color="auto"/>
          <w:color w:val="000000"/>
        </w:rPr>
        <w:t>Section 3.02</w:t>
      </w:r>
      <w:r>
        <w:rPr>
          <w:rFonts w:ascii="Times New Roman" w:cs="Times New Roman" w:eastAsia="Times New Roman" w:hAnsi="Times New Roman"/>
          <w:sz w:val="21"/>
          <w:szCs w:val="21"/>
          <w:color w:val="000000"/>
        </w:rPr>
        <w:t xml:space="preserve">, or if any Lender is a Defaulting Lender and the Company gives a notice pursuant to </w:t>
      </w:r>
      <w:r>
        <w:rPr>
          <w:rFonts w:ascii="Times New Roman" w:cs="Times New Roman" w:eastAsia="Times New Roman" w:hAnsi="Times New Roman"/>
          <w:sz w:val="21"/>
          <w:szCs w:val="21"/>
          <w:u w:val="single" w:color="auto"/>
          <w:color w:val="000000"/>
        </w:rPr>
        <w:t>Section 2.16(f)</w:t>
      </w:r>
      <w:r>
        <w:rPr>
          <w:rFonts w:ascii="Times New Roman" w:cs="Times New Roman" w:eastAsia="Times New Roman" w:hAnsi="Times New Roman"/>
          <w:sz w:val="21"/>
          <w:szCs w:val="21"/>
          <w:color w:val="000000"/>
        </w:rPr>
        <w:t xml:space="preserve">, or if any Lender does not agree to any request by the Company for a consent, approval, amendment or waiver hereunder that requires the consent or approval of all of the Lenders,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000000"/>
        </w:rPr>
        <w:t>Section 10.05</w:t>
      </w:r>
      <w:r>
        <w:rPr>
          <w:rFonts w:ascii="Times New Roman" w:cs="Times New Roman" w:eastAsia="Times New Roman" w:hAnsi="Times New Roman"/>
          <w:sz w:val="21"/>
          <w:szCs w:val="21"/>
          <w:color w:val="000000"/>
        </w:rPr>
        <w:t xml:space="preserve">), all of its interests, rights and obligations under this Credit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-1339215</wp:posOffset>
            </wp:positionV>
            <wp:extent cx="16148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ind w:left="1760" w:hanging="456"/>
        <w:spacing w:after="0"/>
        <w:tabs>
          <w:tab w:leader="none" w:pos="1760" w:val="left"/>
        </w:tabs>
        <w:numPr>
          <w:ilvl w:val="0"/>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shall have paid to the Administrative Agent the assignment fee specified in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835" w:val="left"/>
        </w:tabs>
        <w:numPr>
          <w:ilvl w:val="0"/>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 (in the case of all other amounts);</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63" w:lineRule="auto"/>
        <w:tabs>
          <w:tab w:leader="none" w:pos="1794" w:val="left"/>
        </w:tabs>
        <w:numPr>
          <w:ilvl w:val="0"/>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 and</w:t>
      </w:r>
    </w:p>
    <w:p>
      <w:pPr>
        <w:spacing w:after="0" w:line="16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assignment does not conflict with applicable Laws.</w:t>
      </w:r>
    </w:p>
    <w:p>
      <w:pPr>
        <w:spacing w:after="0" w:line="220" w:lineRule="exact"/>
        <w:rPr>
          <w:sz w:val="20"/>
          <w:szCs w:val="20"/>
          <w:color w:val="auto"/>
        </w:rPr>
      </w:pPr>
    </w:p>
    <w:p>
      <w:pPr>
        <w:ind w:firstLine="1296"/>
        <w:spacing w:after="0" w:line="295" w:lineRule="auto"/>
        <w:rPr>
          <w:sz w:val="20"/>
          <w:szCs w:val="20"/>
          <w:color w:val="auto"/>
        </w:rPr>
      </w:pPr>
      <w:r>
        <w:rPr>
          <w:rFonts w:ascii="Times New Roman" w:cs="Times New Roman" w:eastAsia="Times New Roman" w:hAnsi="Times New Roman"/>
          <w:sz w:val="21"/>
          <w:szCs w:val="21"/>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7" w:name="page218"/>
    <w:bookmarkEnd w:id="217"/>
    <w:p>
      <w:pPr>
        <w:ind w:firstLine="1296"/>
        <w:spacing w:after="0" w:line="266" w:lineRule="auto"/>
        <w:rPr>
          <w:sz w:val="20"/>
          <w:szCs w:val="20"/>
          <w:color w:val="auto"/>
        </w:rPr>
      </w:pPr>
      <w:r>
        <w:rPr>
          <w:rFonts w:ascii="Times New Roman" w:cs="Times New Roman" w:eastAsia="Times New Roman" w:hAnsi="Times New Roman"/>
          <w:sz w:val="21"/>
          <w:szCs w:val="21"/>
          <w:color w:val="010000"/>
        </w:rPr>
        <w:t xml:space="preserve">Section 10.13 </w:t>
      </w:r>
      <w:r>
        <w:rPr>
          <w:rFonts w:ascii="Times New Roman" w:cs="Times New Roman" w:eastAsia="Times New Roman" w:hAnsi="Times New Roman"/>
          <w:sz w:val="21"/>
          <w:szCs w:val="21"/>
          <w:color w:val="000000"/>
        </w:rPr>
        <w:t>Governing Law; Jurisdiction; Etc. (ee)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GOVERNING LAW</w:t>
      </w:r>
      <w:r>
        <w:rPr>
          <w:rFonts w:ascii="Times New Roman" w:cs="Times New Roman" w:eastAsia="Times New Roman" w:hAnsi="Times New Roman"/>
          <w:sz w:val="21"/>
          <w:szCs w:val="21"/>
          <w:color w:val="000000"/>
        </w:rPr>
        <w:t>. THIS CREDIT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-193040</wp:posOffset>
            </wp:positionV>
            <wp:extent cx="21748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74875" cy="8890"/>
                    </a:xfrm>
                    <a:prstGeom prst="rect">
                      <a:avLst/>
                    </a:prstGeom>
                    <a:noFill/>
                  </pic:spPr>
                </pic:pic>
              </a:graphicData>
            </a:graphic>
          </wp:anchor>
        </w:drawing>
      </w:r>
    </w:p>
    <w:p>
      <w:pPr>
        <w:jc w:val="both"/>
        <w:ind w:firstLine="1304"/>
        <w:spacing w:after="0" w:line="246" w:lineRule="auto"/>
        <w:tabs>
          <w:tab w:leader="none" w:pos="2115" w:val="left"/>
        </w:tabs>
        <w:numPr>
          <w:ilvl w:val="0"/>
          <w:numId w:val="2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xml:space="preserve">. THE BORROWER AND EACH OTHER LOAN PARTY IRREVOCABLY AND UNCONDITIONALLY SUBMITS, FOR ITSELF AND ITS PROPERTY, TO THE EXCLUSIVE JURISDICTION OF THE COURTS OF THE STATE OF NEW YORK AND OF THE FEDERAL COURTS OF THE UNITED STATES OF AMERICA SITTING IN THE BOROUGH OF MANHATTAN, AND ANY APPELLATE COURT FROM ANY THEREOF, IN ANY ACTION OR PROCEEDING </w:t>
      </w:r>
      <w:r>
        <w:rPr>
          <w:rFonts w:ascii="Times New Roman" w:cs="Times New Roman" w:eastAsia="Times New Roman" w:hAnsi="Times New Roman"/>
          <w:sz w:val="22"/>
          <w:szCs w:val="22"/>
          <w:u w:val="single" w:color="auto"/>
          <w:color w:val="0000FF"/>
        </w:rPr>
        <w:t>(WHETHER IN TORT, CONTRACT, LAW OR EQUITY)</w:t>
      </w:r>
      <w:r>
        <w:rPr>
          <w:rFonts w:ascii="Times New Roman" w:cs="Times New Roman" w:eastAsia="Times New Roman" w:hAnsi="Times New Roman"/>
          <w:sz w:val="22"/>
          <w:szCs w:val="22"/>
          <w:color w:val="auto"/>
        </w:rPr>
        <w:t xml:space="preserve"> ARISING OUT OF OR RELATING TO THIS CREDIT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THE ADMINISTRATIVE AGENT, ANY LENDER OR THE L/C ISSUER MAY OTHERWISE HAVE TO BRING ANY ACTION OR PROCEEDING RELATING TO THIS CREDIT AGREEMENT OR ANY OTHER LOAN DOCUMENT AGAINST THE BORROWER OR ANY OTHER LOAN PARTY OR ITS PROPERTIES IN THE COURTS OF ANY JURISDICTION.</w:t>
      </w:r>
    </w:p>
    <w:p>
      <w:pPr>
        <w:spacing w:after="0" w:line="184"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833" w:val="left"/>
        </w:tabs>
        <w:numPr>
          <w:ilvl w:val="0"/>
          <w:numId w:val="2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6" w:lineRule="exact"/>
        <w:rPr>
          <w:rFonts w:ascii="Times New Roman" w:cs="Times New Roman" w:eastAsia="Times New Roman" w:hAnsi="Times New Roman"/>
          <w:sz w:val="21"/>
          <w:szCs w:val="21"/>
          <w:color w:val="010000"/>
        </w:rPr>
      </w:pPr>
    </w:p>
    <w:p>
      <w:pPr>
        <w:jc w:val="both"/>
        <w:ind w:firstLine="1304"/>
        <w:spacing w:after="0" w:line="252" w:lineRule="auto"/>
        <w:tabs>
          <w:tab w:leader="none" w:pos="1926" w:val="left"/>
        </w:tabs>
        <w:numPr>
          <w:ilvl w:val="0"/>
          <w:numId w:val="2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CREDIT AGREEMENT WILL AFFECT THE RIGHT OF ANY PARTY HERETO TO SERVE PROCESS IN ANY OTHER MANNER PERMITTED BY APPLICABLE LAW.</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Section 10.14 </w:t>
      </w:r>
      <w:r>
        <w:rPr>
          <w:rFonts w:ascii="Times New Roman" w:cs="Times New Roman" w:eastAsia="Times New Roman" w:hAnsi="Times New Roman"/>
          <w:sz w:val="22"/>
          <w:szCs w:val="22"/>
          <w:color w:val="000000"/>
        </w:rPr>
        <w:t>Waiver of Jury Trial. EACH PARTY HERETO HEREBY IRREVOCABLY WAIVES,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FULLEST EXTENT PERMITTED BY APPLICABLE LAW, ANY RIGHT IT MAY HAVE TO A TRIAL BY JURY IN ANY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-381635</wp:posOffset>
            </wp:positionV>
            <wp:extent cx="13023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8" w:name="page219"/>
    <w:bookmarkEnd w:id="218"/>
    <w:p>
      <w:pPr>
        <w:jc w:val="both"/>
        <w:spacing w:after="0" w:line="247" w:lineRule="auto"/>
        <w:rPr>
          <w:sz w:val="20"/>
          <w:szCs w:val="20"/>
          <w:color w:val="auto"/>
        </w:rPr>
      </w:pPr>
      <w:r>
        <w:rPr>
          <w:rFonts w:ascii="Times New Roman" w:cs="Times New Roman" w:eastAsia="Times New Roman" w:hAnsi="Times New Roman"/>
          <w:sz w:val="22"/>
          <w:szCs w:val="22"/>
          <w:color w:val="auto"/>
        </w:rPr>
        <w:t>PROCEEDING DIRECTLY OR INDIRECTLY ARISING OUT OF OR RELATING TO THIS CREDIT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SECTION.</w:t>
      </w:r>
    </w:p>
    <w:p>
      <w:pPr>
        <w:spacing w:after="0" w:line="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010000"/>
        </w:rPr>
        <w:t xml:space="preserve">Section 10.15 </w:t>
      </w:r>
      <w:r>
        <w:rPr>
          <w:rFonts w:ascii="Times New Roman" w:cs="Times New Roman" w:eastAsia="Times New Roman" w:hAnsi="Times New Roman"/>
          <w:sz w:val="21"/>
          <w:szCs w:val="21"/>
          <w:color w:val="000000"/>
        </w:rPr>
        <w:t>No Advisory or Fiduciary Responsibility. In connection with all aspects of each transaction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and Joint Lead Arrangers,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w:t>
      </w:r>
      <w:r>
        <w:rPr>
          <w:rFonts w:ascii="Times New Roman" w:cs="Times New Roman" w:eastAsia="Times New Roman" w:hAnsi="Times New Roman"/>
          <w:sz w:val="21"/>
          <w:szCs w:val="21"/>
          <w:u w:val="single" w:color="auto"/>
          <w:color w:val="0000FF"/>
        </w:rPr>
        <w:t>each Lender,</w:t>
      </w:r>
      <w:r>
        <w:rPr>
          <w:rFonts w:ascii="Times New Roman" w:cs="Times New Roman" w:eastAsia="Times New Roman" w:hAnsi="Times New Roman"/>
          <w:sz w:val="21"/>
          <w:szCs w:val="21"/>
          <w:color w:val="000000"/>
        </w:rPr>
        <w:t xml:space="preserve"> the Administrative Agent </w:t>
      </w:r>
      <w:r>
        <w:rPr>
          <w:rFonts w:ascii="Times New Roman" w:cs="Times New Roman" w:eastAsia="Times New Roman" w:hAnsi="Times New Roman"/>
          <w:sz w:val="21"/>
          <w:szCs w:val="21"/>
          <w:color w:val="FF0000"/>
          <w:strike w:val="1"/>
        </w:rPr>
        <w:t>and</w:t>
      </w:r>
      <w:r>
        <w:rPr>
          <w:rFonts w:ascii="Times New Roman" w:cs="Times New Roman" w:eastAsia="Times New Roman" w:hAnsi="Times New Roman"/>
          <w:sz w:val="21"/>
          <w:szCs w:val="21"/>
          <w:color w:val="000000"/>
        </w:rPr>
        <w:t xml:space="preserve"> the Joint Lead Arrangers each is and has been acting solely as a principal and is not the financial advisor, agent or fiduciary, for the Borrower or any of its Affiliates, stockholders, creditors or employees or any other Person; (iii) neither the Administrative Agent, any Lender nor any Joint Lead Arranger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any Lender or any Joint Lead Arranger has advised or is currently advising the Borrower or any of its Affiliates on other matters) and neither the Administrative Agent, any Lender nor any Joint Lead Arranger has any obligation to the Borrower or any of its Affiliates with respect to the transactions contemplated hereby except those obligations expressly set forth herein and in the other Loan Documents; (iv) the Administrative Agent, the Lenders and the Joint Lead Arrangers and their respective Affiliates may be engaged in a broad range of transactions that involve interests that differ from those of the Borrower and its Affiliates, and neither the Administrative Agent nor any Joint Lead Arranger has any obligation to disclose any of such interests by virtue of any advisory, agency or fiduciary relationship; and (v) the Administrative Agent and the Joint Lead Arrangers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the Lenders and the Joint Lead Arrangers with respect to any breach or alleged breach of agency or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-3989705</wp:posOffset>
            </wp:positionV>
            <wp:extent cx="25736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19" w:name="page220"/>
    <w:bookmarkEnd w:id="219"/>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Section 10.16 </w:t>
      </w:r>
      <w:r>
        <w:rPr>
          <w:rFonts w:ascii="Times New Roman" w:cs="Times New Roman" w:eastAsia="Times New Roman" w:hAnsi="Times New Roman"/>
          <w:sz w:val="22"/>
          <w:szCs w:val="22"/>
          <w:color w:val="000000"/>
        </w:rPr>
        <w:t>USA PATRIOT Act Notice. Each Lender that is subject to the USA PATRIOT Act (Title III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Pub. L. 107-56 (signed into law October 26, 2001)) (the “</w:t>
      </w:r>
      <w:r>
        <w:rPr>
          <w:rFonts w:ascii="Times New Roman" w:cs="Times New Roman" w:eastAsia="Times New Roman" w:hAnsi="Times New Roman"/>
          <w:sz w:val="22"/>
          <w:szCs w:val="22"/>
          <w:u w:val="single" w:color="auto"/>
          <w:color w:val="000000"/>
        </w:rPr>
        <w:t>Patriot Act</w:t>
      </w:r>
      <w:r>
        <w:rPr>
          <w:rFonts w:ascii="Times New Roman" w:cs="Times New Roman" w:eastAsia="Times New Roman" w:hAnsi="Times New Roman"/>
          <w:sz w:val="22"/>
          <w:szCs w:val="22"/>
          <w:color w:val="000000"/>
        </w:rPr>
        <w: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Beneficial Ownership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-853440</wp:posOffset>
            </wp:positionV>
            <wp:extent cx="17062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10.17 </w:t>
      </w:r>
      <w:r>
        <w:rPr>
          <w:rFonts w:ascii="Times New Roman" w:cs="Times New Roman" w:eastAsia="Times New Roman" w:hAnsi="Times New Roman"/>
          <w:sz w:val="22"/>
          <w:szCs w:val="22"/>
          <w:color w:val="000000"/>
        </w:rPr>
        <w:t>No Liability of Members, Partners and Other Persons. No limited partner, member,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manager, employee, director, stockholder or other holder of an ownership interest of or in any Loan Party or any partnership, limited liability company, corporation or other entity which is a stockholder or other holder of an ownership interest of or in any Loan Party shall have any personal liability in respect of such obligations by reason of his, her or its status as such limited partner, officer, manager, employee, director, stockholder or holder. In addition, no general partner of any Loan Party that is a partnership, joint venture or joint adventure shall have any personal liability in respect of such Loan Party’s obligation under this Credit Agreement or the Notes by reason of his, her or its status as such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-1016635</wp:posOffset>
            </wp:positionV>
            <wp:extent cx="3353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10.18 </w:t>
      </w:r>
      <w:r>
        <w:rPr>
          <w:rFonts w:ascii="Times New Roman" w:cs="Times New Roman" w:eastAsia="Times New Roman" w:hAnsi="Times New Roman"/>
          <w:sz w:val="22"/>
          <w:szCs w:val="22"/>
          <w:color w:val="000000"/>
        </w:rPr>
        <w:t>Authorization of Third Parties to Deliver Information and Discuss Affairs. The Borrower hereby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confirms that it has authorized and directed each Person whose preparation or delivery to the Administrative Agent or the Lenders of any opinion, report or other information is a condition or covenant under this Credit Agreement (including under </w:t>
      </w:r>
      <w:r>
        <w:rPr>
          <w:rFonts w:ascii="Times New Roman" w:cs="Times New Roman" w:eastAsia="Times New Roman" w:hAnsi="Times New Roman"/>
          <w:sz w:val="22"/>
          <w:szCs w:val="22"/>
          <w:u w:val="single" w:color="auto"/>
          <w:color w:val="000000"/>
        </w:rPr>
        <w:t>Article V</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VII</w:t>
      </w:r>
      <w:r>
        <w:rPr>
          <w:rFonts w:ascii="Times New Roman" w:cs="Times New Roman" w:eastAsia="Times New Roman" w:hAnsi="Times New Roman"/>
          <w:sz w:val="22"/>
          <w:szCs w:val="22"/>
          <w:color w:val="000000"/>
        </w:rPr>
        <w:t xml:space="preserve">) to so prepare or deliver such opinions, reports or other information for the benefit of the Administrative Agent and the Lenders. The Borrower agrees to confirm such authorizations and directions provided for in this </w:t>
      </w:r>
      <w:r>
        <w:rPr>
          <w:rFonts w:ascii="Times New Roman" w:cs="Times New Roman" w:eastAsia="Times New Roman" w:hAnsi="Times New Roman"/>
          <w:sz w:val="22"/>
          <w:szCs w:val="22"/>
          <w:u w:val="single" w:color="auto"/>
          <w:color w:val="000000"/>
        </w:rPr>
        <w:t>Section 10.18</w:t>
      </w:r>
      <w:r>
        <w:rPr>
          <w:rFonts w:ascii="Times New Roman" w:cs="Times New Roman" w:eastAsia="Times New Roman" w:hAnsi="Times New Roman"/>
          <w:sz w:val="22"/>
          <w:szCs w:val="22"/>
          <w:color w:val="000000"/>
        </w:rPr>
        <w:t xml:space="preserve"> from time to time as may be requested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-852805</wp:posOffset>
            </wp:positionV>
            <wp:extent cx="42792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7926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010000"/>
        </w:rPr>
        <w:t xml:space="preserve">Section 10.19 </w:t>
      </w:r>
      <w:r>
        <w:rPr>
          <w:rFonts w:ascii="Times New Roman" w:cs="Times New Roman" w:eastAsia="Times New Roman" w:hAnsi="Times New Roman"/>
          <w:sz w:val="22"/>
          <w:szCs w:val="22"/>
          <w:color w:val="000000"/>
        </w:rPr>
        <w:t>Additional Borrowers. The Company may designate any wholly owned Domestic Subsidiary that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 a Restricted Subsidiary as a Borrower (a “</w:t>
      </w:r>
      <w:r>
        <w:rPr>
          <w:rFonts w:ascii="Times New Roman" w:cs="Times New Roman" w:eastAsia="Times New Roman" w:hAnsi="Times New Roman"/>
          <w:sz w:val="22"/>
          <w:szCs w:val="22"/>
          <w:u w:val="single" w:color="auto"/>
          <w:color w:val="000000"/>
        </w:rPr>
        <w:t>Designated Borrower</w:t>
      </w:r>
      <w:r>
        <w:rPr>
          <w:rFonts w:ascii="Times New Roman" w:cs="Times New Roman" w:eastAsia="Times New Roman" w:hAnsi="Times New Roman"/>
          <w:sz w:val="22"/>
          <w:szCs w:val="22"/>
          <w:color w:val="000000"/>
        </w:rPr>
        <w:t xml:space="preserve">”) under this Credit Agreement (each such Designated Borrower upon satisfaction of the conditions specified in this </w:t>
      </w:r>
      <w:r>
        <w:rPr>
          <w:rFonts w:ascii="Times New Roman" w:cs="Times New Roman" w:eastAsia="Times New Roman" w:hAnsi="Times New Roman"/>
          <w:sz w:val="22"/>
          <w:szCs w:val="22"/>
          <w:u w:val="single" w:color="auto"/>
          <w:color w:val="000000"/>
        </w:rPr>
        <w:t>Section 10.19</w:t>
      </w:r>
      <w:r>
        <w:rPr>
          <w:rFonts w:ascii="Times New Roman" w:cs="Times New Roman" w:eastAsia="Times New Roman" w:hAnsi="Times New Roman"/>
          <w:sz w:val="22"/>
          <w:szCs w:val="22"/>
          <w:color w:val="000000"/>
        </w:rPr>
        <w:t xml:space="preserve"> being an “</w:t>
      </w:r>
      <w:r>
        <w:rPr>
          <w:rFonts w:ascii="Times New Roman" w:cs="Times New Roman" w:eastAsia="Times New Roman" w:hAnsi="Times New Roman"/>
          <w:sz w:val="22"/>
          <w:szCs w:val="22"/>
          <w:u w:val="single" w:color="auto"/>
          <w:color w:val="000000"/>
        </w:rPr>
        <w:t>Additional Borrower</w:t>
      </w:r>
      <w:r>
        <w:rPr>
          <w:rFonts w:ascii="Times New Roman" w:cs="Times New Roman" w:eastAsia="Times New Roman" w:hAnsi="Times New Roman"/>
          <w:sz w:val="22"/>
          <w:szCs w:val="22"/>
          <w:color w:val="000000"/>
        </w:rPr>
        <w:t xml:space="preserve">”) upon 10 days prior written notice to the Administrative Agent subject to (a) execution and delivery by such Designated Borrowers, the Company and, the Administrative Agent, of such agreements and other documentation (including, without limitation, an amendment to this Credit Agreement or any other Loan Document), and the furnishing by each such Designated Borrower, of such certificates, opinions, and other documentation specified in clauses (a), (b), (c) and (d) of </w:t>
      </w:r>
      <w:r>
        <w:rPr>
          <w:rFonts w:ascii="Times New Roman" w:cs="Times New Roman" w:eastAsia="Times New Roman" w:hAnsi="Times New Roman"/>
          <w:sz w:val="22"/>
          <w:szCs w:val="22"/>
          <w:u w:val="single" w:color="auto"/>
          <w:color w:val="000000"/>
        </w:rPr>
        <w:t>Section 5.01</w:t>
      </w:r>
      <w:r>
        <w:rPr>
          <w:rFonts w:ascii="Times New Roman" w:cs="Times New Roman" w:eastAsia="Times New Roman" w:hAnsi="Times New Roman"/>
          <w:sz w:val="22"/>
          <w:szCs w:val="22"/>
          <w:color w:val="000000"/>
        </w:rPr>
        <w:t xml:space="preserve"> and (b) completion of all Patriot Act and applicable “know your customer” documentation reasonably requested by the Lenders, including delivery of a Beneficial Ownership Certification. On and after the date of satisfaction of the terms and conditions of the foregoing clauses (a) and (b), such Designated Borrower shall be a Borrower for all purposes hereunder. For the avoidance of doubt, no Excluded Domestic Subsidiary shall be an Additional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-1672590</wp:posOffset>
            </wp:positionV>
            <wp:extent cx="13550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1300"/>
        <w:spacing w:after="0"/>
        <w:tabs>
          <w:tab w:leader="none" w:pos="2700" w:val="left"/>
        </w:tabs>
        <w:rPr>
          <w:sz w:val="20"/>
          <w:szCs w:val="20"/>
          <w:color w:val="auto"/>
        </w:rPr>
      </w:pPr>
      <w:r>
        <w:rPr>
          <w:rFonts w:ascii="Times New Roman" w:cs="Times New Roman" w:eastAsia="Times New Roman" w:hAnsi="Times New Roman"/>
          <w:sz w:val="22"/>
          <w:szCs w:val="22"/>
          <w:color w:val="010000"/>
        </w:rPr>
        <w:t>Section 10.20</w:t>
      </w:r>
      <w:r>
        <w:rPr>
          <w:sz w:val="20"/>
          <w:szCs w:val="20"/>
          <w:color w:val="auto"/>
        </w:rPr>
        <w:tab/>
      </w:r>
      <w:r>
        <w:rPr>
          <w:rFonts w:ascii="Times New Roman" w:cs="Times New Roman" w:eastAsia="Times New Roman" w:hAnsi="Times New Roman"/>
          <w:sz w:val="21"/>
          <w:szCs w:val="21"/>
          <w:color w:val="auto"/>
        </w:rPr>
        <w:t>Joint and Several Obligations; Express Waivers By Borrowers In Respect of Cross Guaranties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-29210</wp:posOffset>
            </wp:positionV>
            <wp:extent cx="55492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492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u w:val="single" w:color="auto"/>
          <w:color w:val="auto"/>
        </w:rPr>
        <w:t>Cross Collateralization</w:t>
      </w:r>
      <w:r>
        <w:rPr>
          <w:rFonts w:ascii="Times New Roman" w:cs="Times New Roman" w:eastAsia="Times New Roman" w:hAnsi="Times New Roman"/>
          <w:sz w:val="22"/>
          <w:szCs w:val="22"/>
          <w:color w:val="auto"/>
        </w:rPr>
        <w:t>. Each Borrower agrees as follows:</w:t>
      </w:r>
    </w:p>
    <w:p>
      <w:pPr>
        <w:spacing w:after="0" w:line="5" w:lineRule="exact"/>
        <w:rPr>
          <w:sz w:val="20"/>
          <w:szCs w:val="20"/>
          <w:color w:val="auto"/>
        </w:rPr>
      </w:pPr>
    </w:p>
    <w:p>
      <w:pPr>
        <w:jc w:val="both"/>
        <w:ind w:left="660" w:firstLine="644"/>
        <w:spacing w:after="0" w:line="251" w:lineRule="auto"/>
        <w:tabs>
          <w:tab w:leader="none" w:pos="1899" w:val="left"/>
        </w:tabs>
        <w:numPr>
          <w:ilvl w:val="0"/>
          <w:numId w:val="2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Borrower agrees that, subject to </w:t>
      </w:r>
      <w:r>
        <w:rPr>
          <w:rFonts w:ascii="Times New Roman" w:cs="Times New Roman" w:eastAsia="Times New Roman" w:hAnsi="Times New Roman"/>
          <w:sz w:val="22"/>
          <w:szCs w:val="22"/>
          <w:u w:val="single" w:color="auto"/>
          <w:color w:val="auto"/>
        </w:rPr>
        <w:t>Section 10.20(b)</w:t>
      </w:r>
      <w:r>
        <w:rPr>
          <w:rFonts w:ascii="Times New Roman" w:cs="Times New Roman" w:eastAsia="Times New Roman" w:hAnsi="Times New Roman"/>
          <w:sz w:val="22"/>
          <w:szCs w:val="22"/>
          <w:color w:val="auto"/>
        </w:rPr>
        <w:t xml:space="preserve">, it is absolutely and unconditionally jointly and severally liable, as co-borrower, for the prompt payment and performance of all Obligations and all agreements of each of the Borrowers under the Loan Documents. Except as otherwise provided in </w:t>
      </w:r>
      <w:r>
        <w:rPr>
          <w:rFonts w:ascii="Times New Roman" w:cs="Times New Roman" w:eastAsia="Times New Roman" w:hAnsi="Times New Roman"/>
          <w:sz w:val="22"/>
          <w:szCs w:val="22"/>
          <w:u w:val="single" w:color="auto"/>
          <w:color w:val="auto"/>
        </w:rPr>
        <w:t>Section 10.20(b)</w:t>
      </w:r>
      <w:r>
        <w:rPr>
          <w:rFonts w:ascii="Times New Roman" w:cs="Times New Roman" w:eastAsia="Times New Roman" w:hAnsi="Times New Roman"/>
          <w:sz w:val="22"/>
          <w:szCs w:val="22"/>
          <w:color w:val="auto"/>
        </w:rPr>
        <w:t>, nothing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0" w:name="page221"/>
    <w:bookmarkEnd w:id="220"/>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in this Credit Agreement shall limit the liability of any Borrower to pay Loans made directly or indirectly to that Borrower (including Loans advanced to any other Borrower and then re-loaned or otherwise transferred to, or for the benefit of, such Borrower), L/C Obligations and all accrued interest, fees, expenses and other related Obligations with respect thereto, for which such Borrower shall be primarily liable for all purposes hereunder.</w:t>
      </w:r>
    </w:p>
    <w:p>
      <w:pPr>
        <w:spacing w:after="0" w:line="179" w:lineRule="exact"/>
        <w:rPr>
          <w:sz w:val="20"/>
          <w:szCs w:val="20"/>
          <w:color w:val="auto"/>
        </w:rPr>
      </w:pPr>
    </w:p>
    <w:p>
      <w:pPr>
        <w:jc w:val="both"/>
        <w:ind w:left="660" w:firstLine="644"/>
        <w:spacing w:after="0" w:line="252" w:lineRule="auto"/>
        <w:tabs>
          <w:tab w:leader="none" w:pos="1823" w:val="left"/>
        </w:tabs>
        <w:numPr>
          <w:ilvl w:val="0"/>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Obligations of each Borrower under the Loan Documents shall be limited to an aggregate amount (the “</w:t>
      </w:r>
      <w:r>
        <w:rPr>
          <w:rFonts w:ascii="Times New Roman" w:cs="Times New Roman" w:eastAsia="Times New Roman" w:hAnsi="Times New Roman"/>
          <w:sz w:val="22"/>
          <w:szCs w:val="22"/>
          <w:u w:val="single" w:color="auto"/>
          <w:color w:val="auto"/>
        </w:rPr>
        <w:t>Maximum Obligations Amount</w:t>
      </w:r>
      <w:r>
        <w:rPr>
          <w:rFonts w:ascii="Times New Roman" w:cs="Times New Roman" w:eastAsia="Times New Roman" w:hAnsi="Times New Roman"/>
          <w:sz w:val="22"/>
          <w:szCs w:val="22"/>
          <w:color w:val="auto"/>
        </w:rPr>
        <w:t>”) equal to the largest amount that would not render such Obligations subject to avoidance under Section 548 of the Bankruptcy Code or any comparable provisions of applicable law. Each Borrower hereby agrees that if at any time the Obligations exceed the Maximum Obligations Amount as determined as of such time with regard to such Borrower, then the Loan Documents shall be automatically amended to reduce the Obligations to such Maximum Obligations Amount. Such amendment shall not require the written consent of any Borrower or any Lender and shall be deemed to have been automatically consented to by each Borrower and each Lender.</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47" w:lineRule="auto"/>
        <w:tabs>
          <w:tab w:leader="none" w:pos="1777" w:val="left"/>
        </w:tabs>
        <w:numPr>
          <w:ilvl w:val="0"/>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Borrower hereby waives: (i) notice of acceptance of this Credit Agreement; (ii) notice of the making of any Revolving Credit Loans, the issuance of any Letter of Credit or any other financial accommodations made or extended under the Loan Documents or the creation or existence of any Obligations; (iii) notice of the amount of the Obligations, subject, however, to such Borrower’s right to make inquiry of the Administrative Agent to ascertain the amount of the Obligations at any reasonable time; (iv) notice of any adverse change in the financial condition of any other Borrower or of any other fact that might increase such Borrower’s risk with respect to such other Borrower under the Loan Documents; (v) notice of presentment for payment, demand, protest, and notice thereof as to any promissory notes or other instruments among the Loan Documents; and (vi) all other notices (except if such notice is specifically required to be given to such Borrower hereunder or under any of the other Loan Documents to which such Borrower is a party) and demands to which such Borrower might otherwise be entitled;</w:t>
      </w:r>
    </w:p>
    <w:p>
      <w:pPr>
        <w:spacing w:after="0" w:line="204" w:lineRule="exact"/>
        <w:rPr>
          <w:rFonts w:ascii="Times New Roman" w:cs="Times New Roman" w:eastAsia="Times New Roman" w:hAnsi="Times New Roman"/>
          <w:sz w:val="22"/>
          <w:szCs w:val="22"/>
          <w:color w:val="010000"/>
        </w:rPr>
      </w:pPr>
    </w:p>
    <w:p>
      <w:pPr>
        <w:jc w:val="both"/>
        <w:ind w:left="660" w:firstLine="644"/>
        <w:spacing w:after="0" w:line="251" w:lineRule="auto"/>
        <w:tabs>
          <w:tab w:leader="none" w:pos="1841" w:val="left"/>
        </w:tabs>
        <w:numPr>
          <w:ilvl w:val="0"/>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Borrower hereby waives the right by statute or otherwise to require the Administrative Agent or any Lender to institute suit against any other Borrower or to exhaust any rights and remedies which the Administrative Agent or any Lender has or may have against any other Borrower. Each Borrower further waives any defense arising by reason of any disability or other defense of any other Borrower (other than the defense that the Obligations shall have been fully and finally performed and paid) or by reason of the cessation from any cause whatsoever of the liability of any such Borrower in respect thereof;</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793" w:val="left"/>
        </w:tabs>
        <w:numPr>
          <w:ilvl w:val="0"/>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Borrower hereby waives and agrees not to assert against the Administrative Agent, any Lender, or any L/C Issuer: (i) any defense (legal or equitable), set off, counterclaim, or claim which such Borrower may now or at any time hereafter have against any other Borrower or any other party liable under the Loan Documents; (ii) any defense, set off, counterclaim, or claim of any kind or nature available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1" w:name="page222"/>
    <w:bookmarkEnd w:id="221"/>
    <w:p>
      <w:pPr>
        <w:jc w:val="both"/>
        <w:ind w:left="660"/>
        <w:spacing w:after="0" w:line="254" w:lineRule="auto"/>
        <w:rPr>
          <w:sz w:val="20"/>
          <w:szCs w:val="20"/>
          <w:color w:val="auto"/>
        </w:rPr>
      </w:pPr>
      <w:r>
        <w:rPr>
          <w:rFonts w:ascii="Times New Roman" w:cs="Times New Roman" w:eastAsia="Times New Roman" w:hAnsi="Times New Roman"/>
          <w:sz w:val="22"/>
          <w:szCs w:val="22"/>
          <w:color w:val="auto"/>
        </w:rPr>
        <w:t>other Borrower against the Administrative Agent, any Lender, or any L/C Issuer, arising directly or indirectly from the present or future lack of perfection, sufficiency, validity, or enforceability of the Obligations or any security therefor;</w:t>
      </w:r>
    </w:p>
    <w:p>
      <w:pPr>
        <w:spacing w:after="0" w:line="2" w:lineRule="exact"/>
        <w:rPr>
          <w:sz w:val="20"/>
          <w:szCs w:val="20"/>
          <w:color w:val="auto"/>
        </w:rPr>
      </w:pPr>
    </w:p>
    <w:p>
      <w:pPr>
        <w:jc w:val="both"/>
        <w:ind w:left="660" w:hanging="4"/>
        <w:spacing w:after="0" w:line="245" w:lineRule="auto"/>
        <w:tabs>
          <w:tab w:leader="none" w:pos="109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or defense arising by reason of any claim or defense based upon an election of remedies by the Administrative Agent, any Lender, or any L/C Issuer under any applicable law; (iv) the benefit of any statute of limitations affecting any other Borrower’s liability hereunder;</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40" w:val="left"/>
        </w:tabs>
        <w:numPr>
          <w:ilvl w:val="1"/>
          <w:numId w:val="2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Borrower consents and agrees that, without notice to or by such Borrower and without affecting or impairing the obligations of such Borrower hereunder, the Administrative Agent may (subject to any requirement for consent of any of the Lenders to the extent required by this Credit Agreement), by action or inaction: (i) compromise, settle, extend the duration or the time for the payment of, or discharge the performance of, or may refuse to or otherwise not enforce the Loan Documents; (ii) release all or any one or more parties to any one or more of the Loan Documents or grant other indulgences to any other Borrower in respect thereof; (iii) amend or modify in any manner and at any time (or from time to time) any of the Loan Documents; or (iv) release or substitute any Person liable for payment of the Obligations, or enforce, exchange, release, or waive any security for the Obligations or any Guaranty of the Obligations; and</w:t>
      </w:r>
    </w:p>
    <w:p>
      <w:pPr>
        <w:spacing w:after="0" w:line="185"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827" w:val="left"/>
        </w:tabs>
        <w:numPr>
          <w:ilvl w:val="1"/>
          <w:numId w:val="2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Borrower represents and warrants to the Administrative Agent and the Lenders that such Borrower is currently informed of the financial condition of all other Borrowers and all other circumstances which a diligent inquiry would reveal and which bear upon the risk of nonpayment of the Obligations. Each Borrower further represents and warrants that such Borrower has read and understands the terms and conditions of the Loan Documents. Each Borrower agrees that neither the Administrative Agent, any Lender, nor any L/C Issuer has any responsibility to inform any Borrower of the financial condition of any other Borrower or of any other circumstances which bear upon the risk of nonpayment or nonperformance of the Obligations.</w:t>
      </w:r>
    </w:p>
    <w:p>
      <w:pPr>
        <w:spacing w:after="0" w:line="19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2"/>
          <w:szCs w:val="22"/>
          <w:color w:val="010000"/>
        </w:rPr>
        <w:t xml:space="preserve">Section 10.21 </w:t>
      </w:r>
      <w:r>
        <w:rPr>
          <w:rFonts w:ascii="Times New Roman" w:cs="Times New Roman" w:eastAsia="Times New Roman" w:hAnsi="Times New Roman"/>
          <w:sz w:val="22"/>
          <w:szCs w:val="22"/>
          <w:u w:val="single" w:color="auto"/>
          <w:color w:val="000000"/>
        </w:rPr>
        <w:t>Acknowledgments Relating to, and Effects of, the Amendment and Restatement of the First A&amp;R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Credit Agreement</w:t>
      </w:r>
      <w:r>
        <w:rPr>
          <w:rFonts w:ascii="Times New Roman" w:cs="Times New Roman" w:eastAsia="Times New Roman" w:hAnsi="Times New Roman"/>
          <w:sz w:val="22"/>
          <w:szCs w:val="22"/>
          <w:color w:val="000000"/>
        </w:rPr>
        <w:t>.</w:t>
      </w:r>
    </w:p>
    <w:p>
      <w:pPr>
        <w:spacing w:after="0" w:line="2" w:lineRule="exact"/>
        <w:rPr>
          <w:sz w:val="20"/>
          <w:szCs w:val="20"/>
          <w:color w:val="auto"/>
        </w:rPr>
      </w:pPr>
    </w:p>
    <w:p>
      <w:pPr>
        <w:jc w:val="both"/>
        <w:ind w:left="660" w:firstLine="644"/>
        <w:spacing w:after="0" w:line="259" w:lineRule="auto"/>
        <w:tabs>
          <w:tab w:leader="none" w:pos="1877" w:val="left"/>
        </w:tabs>
        <w:numPr>
          <w:ilvl w:val="0"/>
          <w:numId w:val="2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Loan Party hereby (i) expressly acknowledges the terms of this Credit Agreement, (ii) ratifies and affirms its obligations under the Loan Documents (including guarantees and security agreements) executed by such Loan Party and (iii) acknowledges, renews and extends its continued liability under all such Loan Documents and agrees such Loan Documents remain in full force and effect, including with respect to the obligations of the Borrower as modified by this Credit Agreement. Each Loan Party further represents and warrants to the Administrative Agent, the Collateral Agent and each of the Lender Parties that after giving effect to this Credit Agreement, neither the modification of the First A&amp;R Credit Agreement effected pursuant to this Credit Agreement, nor the execution, delivery, performance or effectiveness of this Credit Agreement (A) impairs the validity, effectiveness or priority of the Liens granted pursuant to any Loan Document (as such term is defined in the First A&amp;R Credit Agreement), and such Liens continue unimpaired with the same priority to secure repayment of all Obligations, whether heretofore or hereafter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2" w:name="page223"/>
    <w:bookmarkEnd w:id="222"/>
    <w:p>
      <w:pPr>
        <w:ind w:left="1000" w:hanging="344"/>
        <w:spacing w:after="0"/>
        <w:tabs>
          <w:tab w:leader="none" w:pos="10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requires that any new filings be made or other action taken to perfect or to maintain the perfection of such Liens.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62" w:val="left"/>
        </w:tabs>
        <w:numPr>
          <w:ilvl w:val="1"/>
          <w:numId w:val="2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Credit Agreement shall be deemed to be an amendment to and restatement of the First A&amp;R Credit Agreement, and the First A&amp;R Credit Agreement as amended and restated hereby shall remain in full force and effect and is hereby ratified and confirmed in all respects. This Credit Agreement is not intended to and shall not constitute a novation of the First A&amp;R Credit Agreement. All references to the First A&amp;R Credit Agreement in any other Loan Document or other agreement or document shall, on and after the Closing Date, be deemed to refer to the First A&amp;R Credit Agreement as amended and restated hereby.</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50" w:lineRule="auto"/>
        <w:tabs>
          <w:tab w:leader="none" w:pos="1769" w:val="left"/>
        </w:tabs>
        <w:numPr>
          <w:ilvl w:val="1"/>
          <w:numId w:val="2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Loan Party hereby agrees, acknowledges and affirms that (i) each of the Collateral Documents to which it is a party shall remain in full force and effect and shall constitute security for all Obligations pursuant to the First A&amp;R Credit Agreement as amended and restated hereby and the other Loan Documents, and (ii) any reference to the First A&amp;R Credit Agreement appearing in any such Collateral Document shall on and after the Closing Date be deemed to refer to the First A&amp;R Credit Agreement as amended and restated hereby. In furtherance of the foregoing, each Loan Party hereby confirms the security interest in the Collateral granted by it in favor of the Collateral Agent pursuant to each Collateral Document to which it is a party.</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Section 10.22 </w:t>
      </w:r>
      <w:r>
        <w:rPr>
          <w:rFonts w:ascii="Times New Roman" w:cs="Times New Roman" w:eastAsia="Times New Roman" w:hAnsi="Times New Roman"/>
          <w:sz w:val="22"/>
          <w:szCs w:val="22"/>
          <w:color w:val="000000"/>
        </w:rPr>
        <w:t>Contractual Recognition of Bail-In. Notwithstanding any other term of any Loan Document 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agreement, arrangement or understanding among any of the parties hereto, each party hereto acknowledges, accepts and agrees that any liability of any Lender that is an Affected Financial Institution arising under the Loan Documents, to the extent such liability is unsecured, may be subject to the Write-down and Conversion Powers of an applicable Resolution Authority and acknowledges, accepts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-690245</wp:posOffset>
            </wp:positionV>
            <wp:extent cx="20529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2955" cy="8890"/>
                    </a:xfrm>
                    <a:prstGeom prst="rect">
                      <a:avLst/>
                    </a:prstGeom>
                    <a:noFill/>
                  </pic:spPr>
                </pic:pic>
              </a:graphicData>
            </a:graphic>
          </wp:anchor>
        </w:drawing>
      </w:r>
    </w:p>
    <w:p>
      <w:pPr>
        <w:ind w:left="660" w:firstLine="644"/>
        <w:spacing w:after="0" w:line="271" w:lineRule="auto"/>
        <w:tabs>
          <w:tab w:leader="none" w:pos="1766" w:val="left"/>
        </w:tabs>
        <w:numPr>
          <w:ilvl w:val="0"/>
          <w:numId w:val="2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application of any Write-down and Conversion Powers by an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1"/>
          <w:szCs w:val="21"/>
          <w:color w:val="010000"/>
        </w:rPr>
      </w:pPr>
    </w:p>
    <w:p>
      <w:pPr>
        <w:ind w:left="1780" w:hanging="476"/>
        <w:spacing w:after="0"/>
        <w:tabs>
          <w:tab w:leader="none" w:pos="1780" w:val="left"/>
        </w:tabs>
        <w:numPr>
          <w:ilvl w:val="0"/>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1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part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176" w:lineRule="exact"/>
        <w:rPr>
          <w:rFonts w:ascii="Times New Roman" w:cs="Times New Roman" w:eastAsia="Times New Roman" w:hAnsi="Times New Roman"/>
          <w:sz w:val="22"/>
          <w:szCs w:val="22"/>
          <w:color w:val="auto"/>
        </w:rPr>
      </w:pPr>
    </w:p>
    <w:p>
      <w:pPr>
        <w:ind w:left="660" w:firstLine="1292"/>
        <w:spacing w:after="0" w:line="271" w:lineRule="auto"/>
        <w:tabs>
          <w:tab w:leader="none" w:pos="258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3" w:name="page224"/>
    <w:bookmarkEnd w:id="223"/>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Section 10.23 </w:t>
      </w:r>
      <w:r>
        <w:rPr>
          <w:rFonts w:ascii="Times New Roman" w:cs="Times New Roman" w:eastAsia="Times New Roman" w:hAnsi="Times New Roman"/>
          <w:sz w:val="22"/>
          <w:szCs w:val="22"/>
          <w:color w:val="000000"/>
        </w:rPr>
        <w:t>Acknowledgement Regarding Any Supported QFCs. To the extent that the Loan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 support, through a guarantee or otherwise, for Swap Contracts or any other agreement or instrument that is a QFC (such support, “</w:t>
      </w:r>
      <w:r>
        <w:rPr>
          <w:rFonts w:ascii="Times New Roman" w:cs="Times New Roman" w:eastAsia="Times New Roman" w:hAnsi="Times New Roman"/>
          <w:sz w:val="22"/>
          <w:szCs w:val="22"/>
          <w:u w:val="single" w:color="auto"/>
          <w:color w:val="000000"/>
        </w:rPr>
        <w:t>QFC Credit Support</w:t>
      </w:r>
      <w:r>
        <w:rPr>
          <w:rFonts w:ascii="Times New Roman" w:cs="Times New Roman" w:eastAsia="Times New Roman" w:hAnsi="Times New Roman"/>
          <w:sz w:val="22"/>
          <w:szCs w:val="22"/>
          <w:color w:val="000000"/>
        </w:rPr>
        <w:t>” and each such QFC, a “</w:t>
      </w:r>
      <w:r>
        <w:rPr>
          <w:rFonts w:ascii="Times New Roman" w:cs="Times New Roman" w:eastAsia="Times New Roman" w:hAnsi="Times New Roman"/>
          <w:sz w:val="22"/>
          <w:szCs w:val="22"/>
          <w:u w:val="single" w:color="auto"/>
          <w:color w:val="000000"/>
        </w:rPr>
        <w:t>Supported QFC</w:t>
      </w:r>
      <w:r>
        <w:rPr>
          <w:rFonts w:ascii="Times New Roman" w:cs="Times New Roman" w:eastAsia="Times New Roman" w:hAnsi="Times New Roman"/>
          <w:sz w:val="22"/>
          <w:szCs w:val="22"/>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000000"/>
        </w:rPr>
        <w:t>U.S. Special Resolution Regimes</w:t>
      </w:r>
      <w:r>
        <w:rPr>
          <w:rFonts w:ascii="Times New Roman" w:cs="Times New Roman" w:eastAsia="Times New Roman" w:hAnsi="Times New Roman"/>
          <w:sz w:val="22"/>
          <w:szCs w:val="22"/>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-1176020</wp:posOffset>
            </wp:positionV>
            <wp:extent cx="31743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74365" cy="8255"/>
                    </a:xfrm>
                    <a:prstGeom prst="rect">
                      <a:avLst/>
                    </a:prstGeom>
                    <a:noFill/>
                  </pic:spPr>
                </pic:pic>
              </a:graphicData>
            </a:graphic>
          </wp:anchor>
        </w:drawing>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Section 10.24 </w:t>
      </w:r>
      <w:r>
        <w:rPr>
          <w:rFonts w:ascii="Times New Roman" w:cs="Times New Roman" w:eastAsia="Times New Roman" w:hAnsi="Times New Roman"/>
          <w:sz w:val="22"/>
          <w:szCs w:val="22"/>
          <w:color w:val="000000"/>
        </w:rPr>
        <w:t>Additional Consents, Etc. In addition to the consents required pursuant to Section 10.01, except,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case of clauses (a) and (b) below, as provided in </w:t>
      </w:r>
      <w:r>
        <w:rPr>
          <w:rFonts w:ascii="Times New Roman" w:cs="Times New Roman" w:eastAsia="Times New Roman" w:hAnsi="Times New Roman"/>
          <w:sz w:val="22"/>
          <w:szCs w:val="22"/>
          <w:u w:val="single" w:color="auto"/>
          <w:color w:val="000000"/>
        </w:rPr>
        <w:t>Sections 2.13</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2.14, 2.18</w:t>
      </w:r>
      <w:r>
        <w:rPr>
          <w:rFonts w:ascii="Times New Roman" w:cs="Times New Roman" w:eastAsia="Times New Roman" w:hAnsi="Times New Roman"/>
          <w:sz w:val="22"/>
          <w:szCs w:val="22"/>
          <w:color w:val="000000"/>
        </w:rPr>
        <w:t xml:space="preserve"> or otherwise herein, including with respect to an Incremental Term Supplement, (in each case, without giving effect to any amendment, modification or waiver of such provisions that would alter the express requirements therein with respect to the pro rata treatment, payment or lien priority or structural seniority of Indebtedness incurred pursuant to such provisions), no amendment or waiver of any provision of this Credit Agreement or any other Loan Document, and no consent to any departure by the Borrower or any other Loan Party therefrom,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-1015365</wp:posOffset>
            </wp:positionV>
            <wp:extent cx="15392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jc w:val="both"/>
        <w:ind w:firstLine="1304"/>
        <w:spacing w:after="0" w:line="246" w:lineRule="auto"/>
        <w:tabs>
          <w:tab w:leader="none" w:pos="159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contractually subordinate all or substantially all of the Liens on the Collateral in any transaction or series of related transactions to Liens securing other obligations, or (ii) permit any payment subordination of any of the Obligations, in each case without the prior written consent of each </w:t>
      </w:r>
      <w:r>
        <w:rPr>
          <w:rFonts w:ascii="Times New Roman" w:cs="Times New Roman" w:eastAsia="Times New Roman" w:hAnsi="Times New Roman"/>
          <w:sz w:val="22"/>
          <w:szCs w:val="22"/>
          <w:color w:val="FF0000"/>
          <w:strike w:val="1"/>
        </w:rPr>
        <w:t>Extending</w:t>
      </w:r>
      <w:r>
        <w:rPr>
          <w:rFonts w:ascii="Times New Roman" w:cs="Times New Roman" w:eastAsia="Times New Roman" w:hAnsi="Times New Roman"/>
          <w:sz w:val="22"/>
          <w:szCs w:val="22"/>
          <w:color w:val="auto"/>
        </w:rPr>
        <w:t xml:space="preserve"> Term A Lender and Revolving Lender directly adversely affected thereby, unless, in each case, the relevant Indebtedness (w) is expressly permitted by this Credit Agreement (as in effect as of the Amendment No. 3 Effective Date) to be senior in right of payment to such Obligations and/or be secured by a Lien that is senior in right of security to the Lien securing such Obligations under the Loan Documents or (x) is a “debtor-in-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4" w:name="page225"/>
    <w:bookmarkEnd w:id="224"/>
    <w:p>
      <w:pPr>
        <w:ind w:right="20"/>
        <w:spacing w:after="0" w:line="271" w:lineRule="auto"/>
        <w:rPr>
          <w:sz w:val="20"/>
          <w:szCs w:val="20"/>
          <w:color w:val="auto"/>
        </w:rPr>
      </w:pPr>
      <w:r>
        <w:rPr>
          <w:rFonts w:ascii="Times New Roman" w:cs="Times New Roman" w:eastAsia="Times New Roman" w:hAnsi="Times New Roman"/>
          <w:sz w:val="22"/>
          <w:szCs w:val="22"/>
          <w:color w:val="auto"/>
        </w:rPr>
        <w:t>possession” financing or (y) is incurred pursuant to an asset-based loan facility, factoring, securitization or other similar facility the incurrence of which is approved by the Required Lenders;</w:t>
      </w:r>
    </w:p>
    <w:p>
      <w:pPr>
        <w:spacing w:after="0" w:line="158" w:lineRule="exact"/>
        <w:rPr>
          <w:sz w:val="20"/>
          <w:szCs w:val="20"/>
          <w:color w:val="auto"/>
        </w:rPr>
      </w:pPr>
    </w:p>
    <w:p>
      <w:pPr>
        <w:jc w:val="both"/>
        <w:ind w:firstLine="1304"/>
        <w:spacing w:after="0" w:line="257" w:lineRule="auto"/>
        <w:tabs>
          <w:tab w:leader="none" w:pos="160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alter the pro rata sharing of payments or pro rata reduction of Commitments required hereunder as in effect as of the Amendment No. 3 Effective Date, without the prior written consent of each </w:t>
      </w:r>
      <w:r>
        <w:rPr>
          <w:rFonts w:ascii="Times New Roman" w:cs="Times New Roman" w:eastAsia="Times New Roman" w:hAnsi="Times New Roman"/>
          <w:sz w:val="22"/>
          <w:szCs w:val="22"/>
          <w:color w:val="FF0000"/>
          <w:strike w:val="1"/>
        </w:rPr>
        <w:t>Extending</w:t>
      </w:r>
      <w:r>
        <w:rPr>
          <w:rFonts w:ascii="Times New Roman" w:cs="Times New Roman" w:eastAsia="Times New Roman" w:hAnsi="Times New Roman"/>
          <w:sz w:val="22"/>
          <w:szCs w:val="22"/>
          <w:color w:val="auto"/>
        </w:rPr>
        <w:t xml:space="preserve"> Term A Lender and Revolving Lender directly adversely affected thereby; and</w:t>
      </w:r>
    </w:p>
    <w:p>
      <w:pPr>
        <w:spacing w:after="0" w:line="186"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the provisions of this Section 10.24 without the consent of each </w:t>
      </w:r>
      <w:r>
        <w:rPr>
          <w:rFonts w:ascii="Times New Roman" w:cs="Times New Roman" w:eastAsia="Times New Roman" w:hAnsi="Times New Roman"/>
          <w:sz w:val="22"/>
          <w:szCs w:val="22"/>
          <w:color w:val="FF0000"/>
          <w:strike w:val="1"/>
        </w:rPr>
        <w:t>Extending</w:t>
      </w:r>
      <w:r>
        <w:rPr>
          <w:rFonts w:ascii="Times New Roman" w:cs="Times New Roman" w:eastAsia="Times New Roman" w:hAnsi="Times New Roman"/>
          <w:sz w:val="22"/>
          <w:szCs w:val="22"/>
          <w:color w:val="auto"/>
        </w:rPr>
        <w:t xml:space="preserve"> Term A Lender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Revolving Lender.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4894-8247-7484</w:t>
      </w:r>
      <w:r>
        <w:rPr>
          <w:rFonts w:ascii="Times New Roman" w:cs="Times New Roman" w:eastAsia="Times New Roman" w:hAnsi="Times New Roman"/>
          <w:sz w:val="14"/>
          <w:szCs w:val="14"/>
          <w:u w:val="single" w:color="auto"/>
          <w:color w:val="0000FF"/>
        </w:rPr>
        <w:t>4903-2775-7170</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11</w:t>
      </w:r>
    </w:p>
    <w:p>
      <w:pPr>
        <w:sectPr>
          <w:pgSz w:w="11900" w:h="16838" w:orient="portrait"/>
          <w:cols w:equalWidth="0" w:num="1">
            <w:col w:w="11240"/>
          </w:cols>
          <w:pgMar w:left="320" w:top="1287" w:right="339" w:bottom="1440" w:gutter="0" w:footer="0" w:header="0"/>
        </w:sectPr>
      </w:pPr>
    </w:p>
    <w:bookmarkStart w:id="225" w:name="page226"/>
    <w:bookmarkEnd w:id="2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F6AB8E"/>
    <w:multiLevelType w:val="hybridMultilevel"/>
    <w:lvl w:ilvl="0">
      <w:lvlJc w:val="left"/>
      <w:lvlText w:val="☐"/>
      <w:numFmt w:val="bullet"/>
      <w:start w:val="1"/>
    </w:lvl>
  </w:abstractNum>
  <w:abstractNum w:abstractNumId="1">
    <w:nsid w:val="634C574C"/>
    <w:multiLevelType w:val="hybridMultilevel"/>
    <w:lvl w:ilvl="0">
      <w:lvlJc w:val="left"/>
      <w:lvlText w:val="(%1)"/>
      <w:numFmt w:val="decimal"/>
      <w:start w:val="1"/>
    </w:lvl>
  </w:abstractNum>
  <w:abstractNum w:abstractNumId="2">
    <w:nsid w:val="24E99DD7"/>
    <w:multiLevelType w:val="hybridMultilevel"/>
    <w:lvl w:ilvl="0">
      <w:lvlJc w:val="left"/>
      <w:lvlText w:val="(%1)"/>
      <w:numFmt w:val="lowerLetter"/>
      <w:start w:val="1"/>
    </w:lvl>
  </w:abstractNum>
  <w:abstractNum w:abstractNumId="3">
    <w:nsid w:val="2A31B62D"/>
    <w:multiLevelType w:val="hybridMultilevel"/>
    <w:lvl w:ilvl="0">
      <w:lvlJc w:val="left"/>
      <w:lvlText w:val="(%1)"/>
      <w:numFmt w:val="lowerLetter"/>
      <w:start w:val="2"/>
    </w:lvl>
  </w:abstractNum>
  <w:abstractNum w:abstractNumId="4">
    <w:nsid w:val="1849C29B"/>
    <w:multiLevelType w:val="hybridMultilevel"/>
    <w:lvl w:ilvl="0">
      <w:lvlJc w:val="left"/>
      <w:lvlText w:val="(%1)"/>
      <w:numFmt w:val="lowerLetter"/>
      <w:start w:val="1"/>
    </w:lvl>
    <w:lvl w:ilvl="1">
      <w:lvlJc w:val="left"/>
      <w:lvlText w:val="(%2)"/>
      <w:numFmt w:val="decimal"/>
      <w:start w:val="1"/>
    </w:lvl>
  </w:abstractNum>
  <w:abstractNum w:abstractNumId="5">
    <w:nsid w:val="7DFF9D09"/>
    <w:multiLevelType w:val="hybridMultilevel"/>
    <w:lvl w:ilvl="0">
      <w:lvlJc w:val="left"/>
      <w:lvlText w:val="(%1)"/>
      <w:numFmt w:val="lowerLetter"/>
      <w:start w:val="1"/>
    </w:lvl>
    <w:lvl w:ilvl="1">
      <w:lvlJc w:val="left"/>
      <w:lvlText w:val="(%2)"/>
      <w:numFmt w:val="decimal"/>
      <w:start w:val="1"/>
    </w:lvl>
  </w:abstractNum>
  <w:abstractNum w:abstractNumId="6">
    <w:nsid w:val="754342"/>
    <w:multiLevelType w:val="hybridMultilevel"/>
    <w:lvl w:ilvl="0">
      <w:lvlJc w:val="left"/>
      <w:lvlText w:val="(%1)"/>
      <w:numFmt w:val="lowerLetter"/>
      <w:start w:val="7"/>
    </w:lvl>
  </w:abstractNum>
  <w:abstractNum w:abstractNumId="7">
    <w:nsid w:val="69E7F3E5"/>
    <w:multiLevelType w:val="hybridMultilevel"/>
    <w:lvl w:ilvl="0">
      <w:lvlJc w:val="left"/>
      <w:lvlText w:val="(%1)"/>
      <w:numFmt w:val="lowerLetter"/>
      <w:start w:val="1"/>
    </w:lvl>
  </w:abstractNum>
  <w:abstractNum w:abstractNumId="8">
    <w:nsid w:val="2A6DE806"/>
    <w:multiLevelType w:val="hybridMultilevel"/>
    <w:lvl w:ilvl="0">
      <w:lvlJc w:val="left"/>
      <w:lvlText w:val="(%1)"/>
      <w:numFmt w:val="lowerLetter"/>
      <w:start w:val="1"/>
    </w:lvl>
  </w:abstractNum>
  <w:abstractNum w:abstractNumId="9">
    <w:nsid w:val="1816F8C4"/>
    <w:multiLevelType w:val="hybridMultilevel"/>
    <w:lvl w:ilvl="0">
      <w:lvlJc w:val="left"/>
      <w:lvlText w:val="(%1)"/>
      <w:numFmt w:val="lowerLetter"/>
      <w:start w:val="2"/>
    </w:lvl>
  </w:abstractNum>
  <w:abstractNum w:abstractNumId="10">
    <w:nsid w:val="37DF2233"/>
    <w:multiLevelType w:val="hybridMultilevel"/>
    <w:lvl w:ilvl="0">
      <w:lvlJc w:val="left"/>
      <w:lvlText w:val="(%1)"/>
      <w:numFmt w:val="upperLetter"/>
      <w:start w:val="1"/>
    </w:lvl>
  </w:abstractNum>
  <w:abstractNum w:abstractNumId="11">
    <w:nsid w:val="7AB49DAF"/>
    <w:multiLevelType w:val="hybridMultilevel"/>
    <w:lvl w:ilvl="0">
      <w:lvlJc w:val="left"/>
      <w:lvlText w:val="(%1)"/>
      <w:numFmt w:val="lowerLetter"/>
      <w:start w:val="4"/>
    </w:lvl>
  </w:abstractNum>
  <w:abstractNum w:abstractNumId="12">
    <w:nsid w:val="759F82CD"/>
    <w:multiLevelType w:val="hybridMultilevel"/>
    <w:lvl w:ilvl="0">
      <w:lvlJc w:val="left"/>
      <w:lvlText w:val="(%1)"/>
      <w:numFmt w:val="lowerLetter"/>
      <w:start w:val="2"/>
    </w:lvl>
  </w:abstractNum>
  <w:abstractNum w:abstractNumId="13">
    <w:nsid w:val="61E74EA3"/>
    <w:multiLevelType w:val="hybridMultilevel"/>
    <w:lvl w:ilvl="0">
      <w:lvlJc w:val="left"/>
      <w:lvlText w:val="(%1)"/>
      <w:numFmt w:val="lowerLetter"/>
      <w:start w:val="2"/>
    </w:lvl>
  </w:abstractNum>
  <w:abstractNum w:abstractNumId="14">
    <w:nsid w:val="597B4D84"/>
    <w:multiLevelType w:val="hybridMultilevel"/>
    <w:lvl w:ilvl="0">
      <w:lvlJc w:val="left"/>
      <w:lvlText w:val="(%1)"/>
      <w:numFmt w:val="decimal"/>
      <w:start w:val="1"/>
    </w:lvl>
  </w:abstractNum>
  <w:abstractNum w:abstractNumId="15">
    <w:nsid w:val="F819E7F"/>
    <w:multiLevelType w:val="hybridMultilevel"/>
    <w:lvl w:ilvl="0">
      <w:lvlJc w:val="left"/>
      <w:lvlText w:val="(%1)"/>
      <w:numFmt w:val="decimal"/>
      <w:start w:val="2"/>
    </w:lvl>
  </w:abstractNum>
  <w:abstractNum w:abstractNumId="16">
    <w:nsid w:val="57C7D42D"/>
    <w:multiLevelType w:val="hybridMultilevel"/>
    <w:lvl w:ilvl="0">
      <w:lvlJc w:val="left"/>
      <w:lvlText w:val="%1"/>
      <w:numFmt w:val="lowerLetter"/>
      <w:start w:val="1"/>
    </w:lvl>
    <w:lvl w:ilvl="1">
      <w:lvlJc w:val="left"/>
      <w:lvlText w:val="(%2)"/>
      <w:numFmt w:val="lowerLetter"/>
      <w:start w:val="1"/>
    </w:lvl>
  </w:abstractNum>
  <w:abstractNum w:abstractNumId="17">
    <w:nsid w:val="312167AD"/>
    <w:multiLevelType w:val="hybridMultilevel"/>
    <w:lvl w:ilvl="0">
      <w:lvlJc w:val="left"/>
      <w:lvlText w:val="(%1)"/>
      <w:numFmt w:val="lowerLetter"/>
      <w:start w:val="3"/>
    </w:lvl>
    <w:lvl w:ilvl="1">
      <w:lvlJc w:val="left"/>
      <w:lvlText w:val="%2"/>
      <w:numFmt w:val="lowerLetter"/>
      <w:start w:val="1"/>
    </w:lvl>
  </w:abstractNum>
  <w:abstractNum w:abstractNumId="18">
    <w:nsid w:val="631B64D4"/>
    <w:multiLevelType w:val="hybridMultilevel"/>
    <w:lvl w:ilvl="0">
      <w:lvlJc w:val="left"/>
      <w:lvlText w:val="(%1)"/>
      <w:numFmt w:val="lowerLetter"/>
      <w:start w:val="1"/>
    </w:lvl>
  </w:abstractNum>
  <w:abstractNum w:abstractNumId="19">
    <w:nsid w:val="78B5E776"/>
    <w:multiLevelType w:val="hybridMultilevel"/>
    <w:lvl w:ilvl="0">
      <w:lvlJc w:val="left"/>
      <w:lvlText w:val="(%1)"/>
      <w:numFmt w:val="lowerLetter"/>
      <w:start w:val="3"/>
    </w:lvl>
  </w:abstractNum>
  <w:abstractNum w:abstractNumId="20">
    <w:nsid w:val="75486E47"/>
    <w:multiLevelType w:val="hybridMultilevel"/>
    <w:lvl w:ilvl="0">
      <w:lvlJc w:val="left"/>
      <w:lvlText w:val="(%1)"/>
      <w:numFmt w:val="lowerLetter"/>
      <w:start w:val="1"/>
    </w:lvl>
  </w:abstractNum>
  <w:abstractNum w:abstractNumId="21">
    <w:nsid w:val="6E534CDE"/>
    <w:multiLevelType w:val="hybridMultilevel"/>
    <w:lvl w:ilvl="0">
      <w:lvlJc w:val="left"/>
      <w:lvlText w:val="%1"/>
      <w:numFmt w:val="lowerLetter"/>
      <w:start w:val="1"/>
    </w:lvl>
    <w:lvl w:ilvl="1">
      <w:lvlJc w:val="left"/>
      <w:lvlText w:val="(%2)"/>
      <w:numFmt w:val="lowerLetter"/>
      <w:start w:val="8"/>
    </w:lvl>
  </w:abstractNum>
  <w:abstractNum w:abstractNumId="22">
    <w:nsid w:val="1A0DDE32"/>
    <w:multiLevelType w:val="hybridMultilevel"/>
    <w:lvl w:ilvl="0">
      <w:lvlJc w:val="left"/>
      <w:lvlText w:val="(%1)"/>
      <w:numFmt w:val="lowerLetter"/>
      <w:start w:val="1"/>
    </w:lvl>
    <w:lvl w:ilvl="1">
      <w:lvlJc w:val="left"/>
      <w:lvlText w:val="%2"/>
      <w:numFmt w:val="lowerLetter"/>
      <w:start w:val="1"/>
    </w:lvl>
  </w:abstractNum>
  <w:abstractNum w:abstractNumId="23">
    <w:nsid w:val="65968C1C"/>
    <w:multiLevelType w:val="hybridMultilevel"/>
    <w:lvl w:ilvl="0">
      <w:lvlJc w:val="left"/>
      <w:lvlText w:val="(%1)"/>
      <w:numFmt w:val="lowerLetter"/>
      <w:start w:val="1"/>
    </w:lvl>
  </w:abstractNum>
  <w:abstractNum w:abstractNumId="24">
    <w:nsid w:val="46263DEC"/>
    <w:multiLevelType w:val="hybridMultilevel"/>
    <w:lvl w:ilvl="0">
      <w:lvlJc w:val="left"/>
      <w:lvlText w:val="(%1)"/>
      <w:numFmt w:val="lowerRoman"/>
      <w:start w:val="1"/>
    </w:lvl>
  </w:abstractNum>
  <w:abstractNum w:abstractNumId="25">
    <w:nsid w:val="260D8C4A"/>
    <w:multiLevelType w:val="hybridMultilevel"/>
    <w:lvl w:ilvl="0">
      <w:lvlJc w:val="left"/>
      <w:lvlText w:val="(%1)"/>
      <w:numFmt w:val="lowerRoman"/>
      <w:start w:val="1"/>
    </w:lvl>
  </w:abstractNum>
  <w:abstractNum w:abstractNumId="26">
    <w:nsid w:val="73D4D3C4"/>
    <w:multiLevelType w:val="hybridMultilevel"/>
    <w:lvl w:ilvl="0">
      <w:lvlJc w:val="left"/>
      <w:lvlText w:val="(%1)"/>
      <w:numFmt w:val="lowerLetter"/>
      <w:start w:val="1"/>
    </w:lvl>
  </w:abstractNum>
  <w:abstractNum w:abstractNumId="27">
    <w:nsid w:val="746F2E30"/>
    <w:multiLevelType w:val="hybridMultilevel"/>
    <w:lvl w:ilvl="0">
      <w:lvlJc w:val="left"/>
      <w:lvlText w:val="(%1)"/>
      <w:numFmt w:val="lowerLetter"/>
      <w:start w:val="1"/>
    </w:lvl>
  </w:abstractNum>
  <w:abstractNum w:abstractNumId="28">
    <w:nsid w:val="6FDE8AF6"/>
    <w:multiLevelType w:val="hybridMultilevel"/>
    <w:lvl w:ilvl="0">
      <w:lvlJc w:val="left"/>
      <w:lvlText w:val="(%1)"/>
      <w:numFmt w:val="lowerLetter"/>
      <w:start w:val="4"/>
    </w:lvl>
  </w:abstractNum>
  <w:abstractNum w:abstractNumId="29">
    <w:nsid w:val="3FC32E20"/>
    <w:multiLevelType w:val="hybridMultilevel"/>
    <w:lvl w:ilvl="0">
      <w:lvlJc w:val="left"/>
      <w:lvlText w:val="(%1)"/>
      <w:numFmt w:val="lowerRoman"/>
      <w:start w:val="3"/>
    </w:lvl>
  </w:abstractNum>
  <w:abstractNum w:abstractNumId="30">
    <w:nsid w:val="49C0E823"/>
    <w:multiLevelType w:val="hybridMultilevel"/>
    <w:lvl w:ilvl="0">
      <w:lvlJc w:val="left"/>
      <w:lvlText w:val="(%1)"/>
      <w:numFmt w:val="lowerLetter"/>
      <w:start w:val="25"/>
    </w:lvl>
  </w:abstractNum>
  <w:abstractNum w:abstractNumId="31">
    <w:nsid w:val="14D53685"/>
    <w:multiLevelType w:val="hybridMultilevel"/>
    <w:lvl w:ilvl="0">
      <w:lvlJc w:val="left"/>
      <w:lvlText w:val="(%1)"/>
      <w:numFmt w:val="lowerRoman"/>
      <w:start w:val="10"/>
    </w:lvl>
  </w:abstractNum>
  <w:abstractNum w:abstractNumId="32">
    <w:nsid w:val="230F856C"/>
    <w:multiLevelType w:val="hybridMultilevel"/>
    <w:lvl w:ilvl="0">
      <w:lvlJc w:val="left"/>
      <w:lvlText w:val="(%1)"/>
      <w:numFmt w:val="lowerRoman"/>
      <w:start w:val="1"/>
    </w:lvl>
  </w:abstractNum>
  <w:abstractNum w:abstractNumId="33">
    <w:nsid w:val="6EAA85FB"/>
    <w:multiLevelType w:val="hybridMultilevel"/>
    <w:lvl w:ilvl="0">
      <w:lvlJc w:val="left"/>
      <w:lvlText w:val="(%1)"/>
      <w:numFmt w:val="lowerRoman"/>
      <w:start w:val="2"/>
    </w:lvl>
  </w:abstractNum>
  <w:abstractNum w:abstractNumId="34">
    <w:nsid w:val="3F06ECB2"/>
    <w:multiLevelType w:val="hybridMultilevel"/>
    <w:lvl w:ilvl="0">
      <w:lvlJc w:val="left"/>
      <w:lvlText w:val="%1"/>
      <w:numFmt w:val="lowerLetter"/>
      <w:start w:val="1"/>
    </w:lvl>
    <w:lvl w:ilvl="1">
      <w:lvlJc w:val="left"/>
      <w:lvlText w:val="(%2)"/>
      <w:numFmt w:val="lowerLetter"/>
      <w:start w:val="9"/>
    </w:lvl>
  </w:abstractNum>
  <w:abstractNum w:abstractNumId="35">
    <w:nsid w:val="3B594807"/>
    <w:multiLevelType w:val="hybridMultilevel"/>
    <w:lvl w:ilvl="0">
      <w:lvlJc w:val="left"/>
      <w:lvlText w:val="(%1)"/>
      <w:numFmt w:val="lowerLetter"/>
      <w:start w:val="3"/>
    </w:lvl>
    <w:lvl w:ilvl="1">
      <w:lvlJc w:val="left"/>
      <w:lvlText w:val="(%2)"/>
      <w:numFmt w:val="lowerLetter"/>
      <w:start w:val="35"/>
    </w:lvl>
  </w:abstractNum>
  <w:abstractNum w:abstractNumId="36">
    <w:nsid w:val="6CAA2304"/>
    <w:multiLevelType w:val="hybridMultilevel"/>
    <w:lvl w:ilvl="0">
      <w:lvlJc w:val="left"/>
      <w:lvlText w:val="(%1)"/>
      <w:numFmt w:val="lowerRoman"/>
      <w:start w:val="3"/>
    </w:lvl>
  </w:abstractNum>
  <w:abstractNum w:abstractNumId="37">
    <w:nsid w:val="3F7C2FF4"/>
    <w:multiLevelType w:val="hybridMultilevel"/>
    <w:lvl w:ilvl="0">
      <w:lvlJc w:val="left"/>
      <w:lvlText w:val="(%1)"/>
      <w:numFmt w:val="lowerRoman"/>
      <w:start w:val="10"/>
    </w:lvl>
  </w:abstractNum>
  <w:abstractNum w:abstractNumId="38">
    <w:nsid w:val="25413BEC"/>
    <w:multiLevelType w:val="hybridMultilevel"/>
    <w:lvl w:ilvl="0">
      <w:lvlJc w:val="left"/>
      <w:lvlText w:val="(%1)"/>
      <w:numFmt w:val="lowerLetter"/>
      <w:start w:val="3"/>
    </w:lvl>
  </w:abstractNum>
  <w:abstractNum w:abstractNumId="39">
    <w:nsid w:val="17180B0B"/>
    <w:multiLevelType w:val="hybridMultilevel"/>
    <w:lvl w:ilvl="0">
      <w:lvlJc w:val="left"/>
      <w:lvlText w:val="(%1)"/>
      <w:numFmt w:val="lowerRoman"/>
      <w:start w:val="1"/>
    </w:lvl>
  </w:abstractNum>
  <w:abstractNum w:abstractNumId="40">
    <w:nsid w:val="579328B9"/>
    <w:multiLevelType w:val="hybridMultilevel"/>
    <w:lvl w:ilvl="0">
      <w:lvlJc w:val="left"/>
      <w:lvlText w:val="(%1)"/>
      <w:numFmt w:val="lowerRoman"/>
      <w:start w:val="1"/>
    </w:lvl>
  </w:abstractNum>
  <w:abstractNum w:abstractNumId="41">
    <w:nsid w:val="5D205E20"/>
    <w:multiLevelType w:val="hybridMultilevel"/>
    <w:lvl w:ilvl="0">
      <w:lvlJc w:val="left"/>
      <w:lvlText w:val="(%1)"/>
      <w:numFmt w:val="lowerLetter"/>
      <w:start w:val="1"/>
    </w:lvl>
  </w:abstractNum>
  <w:abstractNum w:abstractNumId="42">
    <w:nsid w:val="11CCA8BA"/>
    <w:multiLevelType w:val="hybridMultilevel"/>
    <w:lvl w:ilvl="0">
      <w:lvlJc w:val="left"/>
      <w:lvlText w:val="(%1)"/>
      <w:numFmt w:val="lowerLetter"/>
      <w:start w:val="2"/>
    </w:lvl>
  </w:abstractNum>
  <w:abstractNum w:abstractNumId="43">
    <w:nsid w:val="4D32AB86"/>
    <w:multiLevelType w:val="hybridMultilevel"/>
    <w:lvl w:ilvl="0">
      <w:lvlJc w:val="left"/>
      <w:lvlText w:val="(%1)"/>
      <w:numFmt w:val="lowerRoman"/>
      <w:start w:val="2"/>
    </w:lvl>
  </w:abstractNum>
  <w:abstractNum w:abstractNumId="44">
    <w:nsid w:val="3F07ACC3"/>
    <w:multiLevelType w:val="hybridMultilevel"/>
    <w:lvl w:ilvl="0">
      <w:lvlJc w:val="left"/>
      <w:lvlText w:val="(%1)"/>
      <w:numFmt w:val="lowerLetter"/>
      <w:start w:val="2"/>
    </w:lvl>
  </w:abstractNum>
  <w:abstractNum w:abstractNumId="45">
    <w:nsid w:val="6B47F63E"/>
    <w:multiLevelType w:val="hybridMultilevel"/>
    <w:lvl w:ilvl="0">
      <w:lvlJc w:val="left"/>
      <w:lvlText w:val="(%1)"/>
      <w:numFmt w:val="lowerLetter"/>
      <w:start w:val="1"/>
    </w:lvl>
  </w:abstractNum>
  <w:abstractNum w:abstractNumId="46">
    <w:nsid w:val="5CB44A05"/>
    <w:multiLevelType w:val="hybridMultilevel"/>
    <w:lvl w:ilvl="0">
      <w:lvlJc w:val="left"/>
      <w:lvlText w:val="(%1)"/>
      <w:numFmt w:val="lowerLetter"/>
      <w:start w:val="1"/>
    </w:lvl>
  </w:abstractNum>
  <w:abstractNum w:abstractNumId="47">
    <w:nsid w:val="16CF80F1"/>
    <w:multiLevelType w:val="hybridMultilevel"/>
    <w:lvl w:ilvl="0">
      <w:lvlJc w:val="left"/>
      <w:lvlText w:val="(%1)"/>
      <w:numFmt w:val="lowerLetter"/>
      <w:start w:val="2"/>
    </w:lvl>
  </w:abstractNum>
  <w:abstractNum w:abstractNumId="48">
    <w:nsid w:val="1C695DEC"/>
    <w:multiLevelType w:val="hybridMultilevel"/>
    <w:lvl w:ilvl="0">
      <w:lvlJc w:val="left"/>
      <w:lvlText w:val="(%1)"/>
      <w:numFmt w:val="lowerLetter"/>
      <w:start w:val="2"/>
    </w:lvl>
  </w:abstractNum>
  <w:abstractNum w:abstractNumId="49">
    <w:nsid w:val="3FCFAED9"/>
    <w:multiLevelType w:val="hybridMultilevel"/>
    <w:lvl w:ilvl="0">
      <w:lvlJc w:val="left"/>
      <w:lvlText w:val="(%1)"/>
      <w:numFmt w:val="lowerRoman"/>
      <w:start w:val="2"/>
    </w:lvl>
  </w:abstractNum>
  <w:abstractNum w:abstractNumId="50">
    <w:nsid w:val="F856867"/>
    <w:multiLevelType w:val="hybridMultilevel"/>
    <w:lvl w:ilvl="0">
      <w:lvlJc w:val="left"/>
      <w:lvlText w:val="(%1)"/>
      <w:numFmt w:val="lowerLetter"/>
      <w:start w:val="2"/>
    </w:lvl>
  </w:abstractNum>
  <w:abstractNum w:abstractNumId="51">
    <w:nsid w:val="11B1CC33"/>
    <w:multiLevelType w:val="hybridMultilevel"/>
    <w:lvl w:ilvl="0">
      <w:lvlJc w:val="left"/>
      <w:lvlText w:val="(%1)"/>
      <w:numFmt w:val="lowerRoman"/>
      <w:start w:val="4"/>
    </w:lvl>
  </w:abstractNum>
  <w:abstractNum w:abstractNumId="52">
    <w:nsid w:val="2E22FBB7"/>
    <w:multiLevelType w:val="hybridMultilevel"/>
    <w:lvl w:ilvl="0">
      <w:lvlJc w:val="left"/>
      <w:lvlText w:val="%1"/>
      <w:numFmt w:val="lowerLetter"/>
      <w:start w:val="1"/>
    </w:lvl>
    <w:lvl w:ilvl="1">
      <w:lvlJc w:val="left"/>
      <w:lvlText w:val="(%2)"/>
      <w:numFmt w:val="lowerLetter"/>
      <w:start w:val="2"/>
    </w:lvl>
  </w:abstractNum>
  <w:abstractNum w:abstractNumId="53">
    <w:nsid w:val="29934699"/>
    <w:multiLevelType w:val="hybridMultilevel"/>
    <w:lvl w:ilvl="0">
      <w:lvlJc w:val="left"/>
      <w:lvlText w:val="(%1)"/>
      <w:numFmt w:val="lowerLetter"/>
      <w:start w:val="35"/>
    </w:lvl>
    <w:lvl w:ilvl="1">
      <w:lvlJc w:val="left"/>
      <w:lvlText w:val="(%2)"/>
      <w:numFmt w:val="lowerLetter"/>
      <w:start w:val="3"/>
    </w:lvl>
  </w:abstractNum>
  <w:abstractNum w:abstractNumId="54">
    <w:nsid w:val="77485850"/>
    <w:multiLevelType w:val="hybridMultilevel"/>
    <w:lvl w:ilvl="0">
      <w:lvlJc w:val="left"/>
      <w:lvlText w:val="(%1)"/>
      <w:numFmt w:val="lowerRoman"/>
      <w:start w:val="1"/>
    </w:lvl>
  </w:abstractNum>
  <w:abstractNum w:abstractNumId="55">
    <w:nsid w:val="744939A3"/>
    <w:multiLevelType w:val="hybridMultilevel"/>
    <w:lvl w:ilvl="0">
      <w:lvlJc w:val="left"/>
      <w:lvlText w:val="(%1)"/>
      <w:numFmt w:val="lowerLetter"/>
      <w:start w:val="2"/>
    </w:lvl>
  </w:abstractNum>
  <w:abstractNum w:abstractNumId="56">
    <w:nsid w:val="4FA0D2E3"/>
    <w:multiLevelType w:val="hybridMultilevel"/>
    <w:lvl w:ilvl="0">
      <w:lvlJc w:val="left"/>
      <w:lvlText w:val="(%1)"/>
      <w:numFmt w:val="lowerLetter"/>
      <w:start w:val="3"/>
    </w:lvl>
  </w:abstractNum>
  <w:abstractNum w:abstractNumId="57">
    <w:nsid w:val="6B1D2C14"/>
    <w:multiLevelType w:val="hybridMultilevel"/>
    <w:lvl w:ilvl="0">
      <w:lvlJc w:val="left"/>
      <w:lvlText w:val="(%1)"/>
      <w:numFmt w:val="lowerRoman"/>
      <w:start w:val="1"/>
    </w:lvl>
  </w:abstractNum>
  <w:abstractNum w:abstractNumId="58">
    <w:nsid w:val="68B867D3"/>
    <w:multiLevelType w:val="hybridMultilevel"/>
    <w:lvl w:ilvl="0">
      <w:lvlJc w:val="left"/>
      <w:lvlText w:val="(%1)"/>
      <w:numFmt w:val="lowerRoman"/>
      <w:start w:val="2"/>
    </w:lvl>
    <w:lvl w:ilvl="1">
      <w:lvlJc w:val="left"/>
      <w:lvlText w:val="(%2)"/>
      <w:numFmt w:val="upperLetter"/>
      <w:start w:val="1"/>
    </w:lvl>
  </w:abstractNum>
  <w:abstractNum w:abstractNumId="59">
    <w:nsid w:val="3F7F5DD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60">
    <w:nsid w:val="2AE05A34"/>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61">
    <w:nsid w:val="32794FF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2">
    <w:nsid w:val="5454945E"/>
    <w:multiLevelType w:val="hybridMultilevel"/>
    <w:lvl w:ilvl="0">
      <w:lvlJc w:val="left"/>
      <w:lvlText w:val="(%1)"/>
      <w:numFmt w:val="lowerLetter"/>
      <w:start w:val="2"/>
    </w:lvl>
  </w:abstractNum>
  <w:abstractNum w:abstractNumId="63">
    <w:nsid w:val="4DEFDFA0"/>
    <w:multiLevelType w:val="hybridMultilevel"/>
    <w:lvl w:ilvl="0">
      <w:lvlJc w:val="left"/>
      <w:lvlText w:val="(%1)"/>
      <w:numFmt w:val="lowerRoman"/>
      <w:start w:val="2"/>
    </w:lvl>
  </w:abstractNum>
  <w:abstractNum w:abstractNumId="64">
    <w:nsid w:val="2123D5F2"/>
    <w:multiLevelType w:val="hybridMultilevel"/>
    <w:lvl w:ilvl="0">
      <w:lvlJc w:val="left"/>
      <w:lvlText w:val="(%1)"/>
      <w:numFmt w:val="lowerLetter"/>
      <w:start w:val="3"/>
    </w:lvl>
  </w:abstractNum>
  <w:abstractNum w:abstractNumId="65">
    <w:nsid w:val="135B8110"/>
    <w:multiLevelType w:val="hybridMultilevel"/>
    <w:lvl w:ilvl="0">
      <w:lvlJc w:val="left"/>
      <w:lvlText w:val="(%1)"/>
      <w:numFmt w:val="lowerRoman"/>
      <w:start w:val="2"/>
    </w:lvl>
  </w:abstractNum>
  <w:abstractNum w:abstractNumId="66">
    <w:nsid w:val="94927A8"/>
    <w:multiLevelType w:val="hybridMultilevel"/>
    <w:lvl w:ilvl="0">
      <w:lvlJc w:val="left"/>
      <w:lvlText w:val="(%1)"/>
      <w:numFmt w:val="lowerRoman"/>
      <w:start w:val="3"/>
    </w:lvl>
  </w:abstractNum>
  <w:abstractNum w:abstractNumId="67">
    <w:nsid w:val="DCDF8F6"/>
    <w:multiLevelType w:val="hybridMultilevel"/>
    <w:lvl w:ilvl="0">
      <w:lvlJc w:val="left"/>
      <w:lvlText w:val="(%1)"/>
      <w:numFmt w:val="lowerLetter"/>
      <w:start w:val="4"/>
    </w:lvl>
  </w:abstractNum>
  <w:abstractNum w:abstractNumId="68">
    <w:nsid w:val="52D7B105"/>
    <w:multiLevelType w:val="hybridMultilevel"/>
    <w:lvl w:ilvl="0">
      <w:lvlJc w:val="left"/>
      <w:lvlText w:val="(%1)"/>
      <w:numFmt w:val="lowerRoman"/>
      <w:start w:val="2"/>
    </w:lvl>
  </w:abstractNum>
  <w:abstractNum w:abstractNumId="69">
    <w:nsid w:val="2E8A6394"/>
    <w:multiLevelType w:val="hybridMultilevel"/>
    <w:lvl w:ilvl="0">
      <w:lvlJc w:val="left"/>
      <w:lvlText w:val="(%1)"/>
      <w:numFmt w:val="lowerLetter"/>
      <w:start w:val="5"/>
    </w:lvl>
  </w:abstractNum>
  <w:abstractNum w:abstractNumId="70">
    <w:nsid w:val="24E60401"/>
    <w:multiLevelType w:val="hybridMultilevel"/>
    <w:lvl w:ilvl="0">
      <w:lvlJc w:val="left"/>
      <w:lvlText w:val="(%1)"/>
      <w:numFmt w:val="lowerRoman"/>
      <w:start w:val="1"/>
    </w:lvl>
  </w:abstractNum>
  <w:abstractNum w:abstractNumId="71">
    <w:nsid w:val="2A6AD9BE"/>
    <w:multiLevelType w:val="hybridMultilevel"/>
    <w:lvl w:ilvl="0">
      <w:lvlJc w:val="left"/>
      <w:lvlText w:val="(%1)"/>
      <w:numFmt w:val="lowerRoman"/>
      <w:start w:val="4"/>
    </w:lvl>
  </w:abstractNum>
  <w:abstractNum w:abstractNumId="72">
    <w:nsid w:val="BAAC1B4"/>
    <w:multiLevelType w:val="hybridMultilevel"/>
    <w:lvl w:ilvl="0">
      <w:lvlJc w:val="left"/>
      <w:lvlText w:val="%1"/>
      <w:numFmt w:val="lowerLetter"/>
      <w:start w:val="1"/>
    </w:lvl>
    <w:lvl w:ilvl="1">
      <w:lvlJc w:val="left"/>
      <w:lvlText w:val="(%2)"/>
      <w:numFmt w:val="lowerLetter"/>
      <w:start w:val="6"/>
    </w:lvl>
  </w:abstractNum>
  <w:abstractNum w:abstractNumId="73">
    <w:nsid w:val="36B2ACBC"/>
    <w:multiLevelType w:val="hybridMultilevel"/>
    <w:lvl w:ilvl="0">
      <w:lvlJc w:val="left"/>
      <w:lvlText w:val="(%1)"/>
      <w:numFmt w:val="lowerLetter"/>
      <w:start w:val="9"/>
    </w:lvl>
    <w:lvl w:ilvl="1">
      <w:lvlJc w:val="left"/>
      <w:lvlText w:val="%2"/>
      <w:numFmt w:val="lowerLetter"/>
      <w:start w:val="1"/>
    </w:lvl>
  </w:abstractNum>
  <w:abstractNum w:abstractNumId="74">
    <w:nsid w:val="779D8544"/>
    <w:multiLevelType w:val="hybridMultilevel"/>
    <w:lvl w:ilvl="0">
      <w:lvlJc w:val="left"/>
      <w:lvlText w:val="(%1)"/>
      <w:numFmt w:val="lowerLetter"/>
      <w:start w:val="7"/>
    </w:lvl>
  </w:abstractNum>
  <w:abstractNum w:abstractNumId="75">
    <w:nsid w:val="4AB26E78"/>
    <w:multiLevelType w:val="hybridMultilevel"/>
    <w:lvl w:ilvl="0">
      <w:lvlJc w:val="left"/>
      <w:lvlText w:val="(%1)"/>
      <w:numFmt w:val="lowerLetter"/>
      <w:start w:val="10"/>
    </w:lvl>
  </w:abstractNum>
  <w:abstractNum w:abstractNumId="76">
    <w:nsid w:val="21FAA2FA"/>
    <w:multiLevelType w:val="hybridMultilevel"/>
    <w:lvl w:ilvl="0">
      <w:lvlJc w:val="left"/>
      <w:lvlText w:val="%1"/>
      <w:numFmt w:val="upperLetter"/>
      <w:start w:val="1"/>
    </w:lvl>
    <w:lvl w:ilvl="1">
      <w:lvlJc w:val="left"/>
      <w:lvlText w:val="(%2)"/>
      <w:numFmt w:val="lowerLetter"/>
      <w:start w:val="1"/>
    </w:lvl>
  </w:abstractNum>
  <w:abstractNum w:abstractNumId="77">
    <w:nsid w:val="5451CF49"/>
    <w:multiLevelType w:val="hybridMultilevel"/>
    <w:lvl w:ilvl="0">
      <w:lvlJc w:val="left"/>
      <w:lvlText w:val="(%1)"/>
      <w:numFmt w:val="upperLetter"/>
      <w:start w:val="1"/>
    </w:lvl>
    <w:lvl w:ilvl="1">
      <w:lvlJc w:val="left"/>
      <w:lvlText w:val="(%2)"/>
      <w:numFmt w:val="lowerLetter"/>
      <w:start w:val="2"/>
    </w:lvl>
  </w:abstractNum>
  <w:abstractNum w:abstractNumId="78">
    <w:nsid w:val="6181EF69"/>
    <w:multiLevelType w:val="hybridMultilevel"/>
    <w:lvl w:ilvl="0">
      <w:lvlJc w:val="left"/>
      <w:lvlText w:val="(%1)"/>
      <w:numFmt w:val="lowerRoman"/>
      <w:start w:val="2"/>
    </w:lvl>
  </w:abstractNum>
  <w:abstractNum w:abstractNumId="79">
    <w:nsid w:val="3E6400E6"/>
    <w:multiLevelType w:val="hybridMultilevel"/>
    <w:lvl w:ilvl="0">
      <w:lvlJc w:val="left"/>
      <w:lvlText w:val="(%1)"/>
      <w:numFmt w:val="lowerRoman"/>
      <w:start w:val="3"/>
    </w:lvl>
  </w:abstractNum>
  <w:abstractNum w:abstractNumId="80">
    <w:nsid w:val="14217E23"/>
    <w:multiLevelType w:val="hybridMultilevel"/>
    <w:lvl w:ilvl="0">
      <w:lvlJc w:val="left"/>
      <w:lvlText w:val="(%1)"/>
      <w:numFmt w:val="lowerRoman"/>
      <w:start w:val="4"/>
    </w:lvl>
  </w:abstractNum>
  <w:abstractNum w:abstractNumId="81">
    <w:nsid w:val="710757D0"/>
    <w:multiLevelType w:val="hybridMultilevel"/>
    <w:lvl w:ilvl="0">
      <w:lvlJc w:val="left"/>
      <w:lvlText w:val="(%1)"/>
      <w:numFmt w:val="lowerLetter"/>
      <w:start w:val="61"/>
    </w:lvl>
    <w:lvl w:ilvl="1">
      <w:lvlJc w:val="left"/>
      <w:lvlText w:val="(%2)"/>
      <w:numFmt w:val="lowerLetter"/>
      <w:start w:val="2"/>
    </w:lvl>
  </w:abstractNum>
  <w:abstractNum w:abstractNumId="82">
    <w:nsid w:val="5015CD1A"/>
    <w:multiLevelType w:val="hybridMultilevel"/>
    <w:lvl w:ilvl="0">
      <w:lvlJc w:val="left"/>
      <w:lvlText w:val="(%1)"/>
      <w:numFmt w:val="lowerRoman"/>
      <w:start w:val="2"/>
    </w:lvl>
  </w:abstractNum>
  <w:abstractNum w:abstractNumId="83">
    <w:nsid w:val="424479DA"/>
    <w:multiLevelType w:val="hybridMultilevel"/>
    <w:lvl w:ilvl="0">
      <w:lvlJc w:val="left"/>
      <w:lvlText w:val="(%1)"/>
      <w:numFmt w:val="lowerLetter"/>
      <w:start w:val="3"/>
    </w:lvl>
  </w:abstractNum>
  <w:abstractNum w:abstractNumId="84">
    <w:nsid w:val="1A9A9E69"/>
    <w:multiLevelType w:val="hybridMultilevel"/>
    <w:lvl w:ilvl="0">
      <w:lvlJc w:val="left"/>
      <w:lvlText w:val="%1"/>
      <w:numFmt w:val="lowerLetter"/>
      <w:start w:val="1"/>
    </w:lvl>
    <w:lvl w:ilvl="1">
      <w:lvlJc w:val="left"/>
      <w:lvlText w:val="(%2)"/>
      <w:numFmt w:val="lowerLetter"/>
      <w:start w:val="4"/>
    </w:lvl>
  </w:abstractNum>
  <w:abstractNum w:abstractNumId="85">
    <w:nsid w:val="475E256A"/>
    <w:multiLevelType w:val="hybridMultilevel"/>
    <w:lvl w:ilvl="0">
      <w:lvlJc w:val="left"/>
      <w:lvlText w:val="(%1)"/>
      <w:numFmt w:val="lowerLetter"/>
      <w:start w:val="35"/>
    </w:lvl>
    <w:lvl w:ilvl="1">
      <w:lvlJc w:val="left"/>
      <w:lvlText w:val="%2"/>
      <w:numFmt w:val="lowerLetter"/>
      <w:start w:val="1"/>
    </w:lvl>
  </w:abstractNum>
  <w:abstractNum w:abstractNumId="86">
    <w:nsid w:val="368DB37E"/>
    <w:multiLevelType w:val="hybridMultilevel"/>
    <w:lvl w:ilvl="0">
      <w:lvlJc w:val="left"/>
      <w:lvlText w:val="."/>
      <w:numFmt w:val="bullet"/>
      <w:start w:val="1"/>
    </w:lvl>
  </w:abstractNum>
  <w:abstractNum w:abstractNumId="87">
    <w:nsid w:val="6A3B714C"/>
    <w:multiLevelType w:val="hybridMultilevel"/>
    <w:lvl w:ilvl="0">
      <w:lvlJc w:val="left"/>
      <w:lvlText w:val="(%1)"/>
      <w:numFmt w:val="lowerRoman"/>
      <w:start w:val="2"/>
    </w:lvl>
  </w:abstractNum>
  <w:abstractNum w:abstractNumId="88">
    <w:nsid w:val="327B517E"/>
    <w:multiLevelType w:val="hybridMultilevel"/>
    <w:lvl w:ilvl="0">
      <w:lvlJc w:val="left"/>
      <w:lvlText w:val="(%1)"/>
      <w:numFmt w:val="lowerLetter"/>
      <w:start w:val="2"/>
    </w:lvl>
  </w:abstractNum>
  <w:abstractNum w:abstractNumId="89">
    <w:nsid w:val="1F461B51"/>
    <w:multiLevelType w:val="hybridMultilevel"/>
    <w:lvl w:ilvl="0">
      <w:lvlJc w:val="left"/>
      <w:lvlText w:val="(%1)"/>
      <w:numFmt w:val="lowerLetter"/>
      <w:start w:val="7"/>
    </w:lvl>
  </w:abstractNum>
  <w:abstractNum w:abstractNumId="90">
    <w:nsid w:val="29BACF25"/>
    <w:multiLevelType w:val="hybridMultilevel"/>
    <w:lvl w:ilvl="0">
      <w:lvlJc w:val="left"/>
      <w:lvlText w:val="(%1)"/>
      <w:numFmt w:val="lowerLetter"/>
      <w:start w:val="2"/>
    </w:lvl>
  </w:abstractNum>
  <w:abstractNum w:abstractNumId="91">
    <w:nsid w:val="5D5BABB3"/>
    <w:multiLevelType w:val="hybridMultilevel"/>
    <w:lvl w:ilvl="0">
      <w:lvlJc w:val="left"/>
      <w:lvlText w:val="(%1)"/>
      <w:numFmt w:val="lowerRoman"/>
      <w:start w:val="2"/>
    </w:lvl>
  </w:abstractNum>
  <w:abstractNum w:abstractNumId="92">
    <w:nsid w:val="51BF6B48"/>
    <w:multiLevelType w:val="hybridMultilevel"/>
    <w:lvl w:ilvl="0">
      <w:lvlJc w:val="left"/>
      <w:lvlText w:val="(%1)"/>
      <w:numFmt w:val="lowerRoman"/>
      <w:start w:val="3"/>
    </w:lvl>
  </w:abstractNum>
  <w:abstractNum w:abstractNumId="93">
    <w:nsid w:val="7E0F6384"/>
    <w:multiLevelType w:val="hybridMultilevel"/>
    <w:lvl w:ilvl="0">
      <w:lvlJc w:val="left"/>
      <w:lvlText w:val="(%1)"/>
      <w:numFmt w:val="lowerLetter"/>
      <w:start w:val="3"/>
    </w:lvl>
  </w:abstractNum>
  <w:abstractNum w:abstractNumId="94">
    <w:nsid w:val="2B4B8B53"/>
    <w:multiLevelType w:val="hybridMultilevel"/>
    <w:lvl w:ilvl="0">
      <w:lvlJc w:val="left"/>
      <w:lvlText w:val="(%1)"/>
      <w:numFmt w:val="lowerLetter"/>
      <w:start w:val="1"/>
    </w:lvl>
  </w:abstractNum>
  <w:abstractNum w:abstractNumId="95">
    <w:nsid w:val="72E3413A"/>
    <w:multiLevelType w:val="hybridMultilevel"/>
    <w:lvl w:ilvl="0">
      <w:lvlJc w:val="left"/>
      <w:lvlText w:val="(%1)"/>
      <w:numFmt w:val="lowerLetter"/>
      <w:start w:val="2"/>
    </w:lvl>
  </w:abstractNum>
  <w:abstractNum w:abstractNumId="96">
    <w:nsid w:val="116AE494"/>
    <w:multiLevelType w:val="hybridMultilevel"/>
    <w:lvl w:ilvl="0">
      <w:lvlJc w:val="left"/>
      <w:lvlText w:val="%1"/>
      <w:numFmt w:val="lowerLetter"/>
      <w:start w:val="1"/>
    </w:lvl>
    <w:lvl w:ilvl="1">
      <w:lvlJc w:val="left"/>
      <w:lvlText w:val="(%2)"/>
      <w:numFmt w:val="lowerLetter"/>
      <w:start w:val="9"/>
    </w:lvl>
  </w:abstractNum>
  <w:abstractNum w:abstractNumId="97">
    <w:nsid w:val="3494B2FB"/>
    <w:multiLevelType w:val="hybridMultilevel"/>
    <w:lvl w:ilvl="0">
      <w:lvlJc w:val="left"/>
      <w:lvlText w:val="(%1)"/>
      <w:numFmt w:val="lowerLetter"/>
      <w:start w:val="3"/>
    </w:lvl>
    <w:lvl w:ilvl="1">
      <w:lvlJc w:val="left"/>
      <w:lvlText w:val="%2"/>
      <w:numFmt w:val="lowerLetter"/>
      <w:start w:val="1"/>
    </w:lvl>
  </w:abstractNum>
  <w:abstractNum w:abstractNumId="98">
    <w:nsid w:val="B13A31"/>
    <w:multiLevelType w:val="hybridMultilevel"/>
    <w:lvl w:ilvl="0">
      <w:lvlJc w:val="left"/>
      <w:lvlText w:val="(%1)"/>
      <w:numFmt w:val="lowerLetter"/>
      <w:start w:val="2"/>
    </w:lvl>
  </w:abstractNum>
  <w:abstractNum w:abstractNumId="99">
    <w:nsid w:val="64429599"/>
    <w:multiLevelType w:val="hybridMultilevel"/>
    <w:lvl w:ilvl="0">
      <w:lvlJc w:val="left"/>
      <w:lvlText w:val="(%1)"/>
      <w:numFmt w:val="lowerLetter"/>
      <w:start w:val="10"/>
    </w:lvl>
    <w:lvl w:ilvl="1">
      <w:lvlJc w:val="left"/>
      <w:lvlText w:val="(%2)"/>
      <w:numFmt w:val="lowerLetter"/>
      <w:start w:val="2"/>
    </w:lvl>
  </w:abstractNum>
  <w:abstractNum w:abstractNumId="100">
    <w:nsid w:val="631F1690"/>
    <w:multiLevelType w:val="hybridMultilevel"/>
    <w:lvl w:ilvl="0">
      <w:lvlJc w:val="left"/>
      <w:lvlText w:val="(%1)"/>
      <w:numFmt w:val="lowerRoman"/>
      <w:start w:val="2"/>
    </w:lvl>
  </w:abstractNum>
  <w:abstractNum w:abstractNumId="101">
    <w:nsid w:val="25973E32"/>
    <w:multiLevelType w:val="hybridMultilevel"/>
    <w:lvl w:ilvl="0">
      <w:lvlJc w:val="left"/>
      <w:lvlText w:val="(%1)"/>
      <w:numFmt w:val="lowerLetter"/>
      <w:start w:val="3"/>
    </w:lvl>
  </w:abstractNum>
  <w:abstractNum w:abstractNumId="102">
    <w:nsid w:val="EAD6F57"/>
    <w:multiLevelType w:val="hybridMultilevel"/>
    <w:lvl w:ilvl="0">
      <w:lvlJc w:val="left"/>
      <w:lvlText w:val="(%1)"/>
      <w:numFmt w:val="lowerLetter"/>
      <w:start w:val="5"/>
    </w:lvl>
  </w:abstractNum>
  <w:abstractNum w:abstractNumId="103">
    <w:nsid w:val="6EC9D844"/>
    <w:multiLevelType w:val="hybridMultilevel"/>
    <w:lvl w:ilvl="0">
      <w:lvlJc w:val="left"/>
      <w:lvlText w:val="(%1)"/>
      <w:numFmt w:val="lowerRoman"/>
      <w:start w:val="1"/>
    </w:lvl>
    <w:lvl w:ilvl="1">
      <w:lvlJc w:val="left"/>
      <w:lvlText w:val="(%2)"/>
      <w:numFmt w:val="lowerRoman"/>
      <w:start w:val="1"/>
    </w:lvl>
  </w:abstractNum>
  <w:abstractNum w:abstractNumId="104">
    <w:nsid w:val="5C49EAEE"/>
    <w:multiLevelType w:val="hybridMultilevel"/>
    <w:lvl w:ilvl="0">
      <w:lvlJc w:val="left"/>
      <w:lvlText w:val="(%1)"/>
      <w:numFmt w:val="lowerLetter"/>
      <w:start w:val="2"/>
    </w:lvl>
  </w:abstractNum>
  <w:abstractNum w:abstractNumId="105">
    <w:nsid w:val="64AF49B"/>
    <w:multiLevelType w:val="hybridMultilevel"/>
    <w:lvl w:ilvl="0">
      <w:lvlJc w:val="left"/>
      <w:lvlText w:val="(%1)"/>
      <w:numFmt w:val="lowerLetter"/>
      <w:start w:val="4"/>
    </w:lvl>
  </w:abstractNum>
  <w:abstractNum w:abstractNumId="106">
    <w:nsid w:val="397C46BC"/>
    <w:multiLevelType w:val="hybridMultilevel"/>
    <w:lvl w:ilvl="0">
      <w:lvlJc w:val="left"/>
      <w:lvlText w:val="(%1)"/>
      <w:numFmt w:val="lowerLetter"/>
      <w:start w:val="7"/>
    </w:lvl>
  </w:abstractNum>
  <w:abstractNum w:abstractNumId="107">
    <w:nsid w:val="7E448DE9"/>
    <w:multiLevelType w:val="hybridMultilevel"/>
    <w:lvl w:ilvl="0">
      <w:lvlJc w:val="left"/>
      <w:lvlText w:val="(%1)"/>
      <w:numFmt w:val="lowerLetter"/>
      <w:start w:val="2"/>
    </w:lvl>
  </w:abstractNum>
  <w:abstractNum w:abstractNumId="108">
    <w:nsid w:val="5A9CC3E5"/>
    <w:multiLevelType w:val="hybridMultilevel"/>
    <w:lvl w:ilvl="0">
      <w:lvlJc w:val="left"/>
      <w:lvlText w:val="(%1)"/>
      <w:numFmt w:val="lowerLetter"/>
      <w:start w:val="4"/>
    </w:lvl>
  </w:abstractNum>
  <w:abstractNum w:abstractNumId="109">
    <w:nsid w:val="1AFE3625"/>
    <w:multiLevelType w:val="hybridMultilevel"/>
    <w:lvl w:ilvl="0">
      <w:lvlJc w:val="left"/>
      <w:lvlText w:val="%1"/>
      <w:numFmt w:val="lowerLetter"/>
      <w:start w:val="1"/>
    </w:lvl>
    <w:lvl w:ilvl="1">
      <w:lvlJc w:val="left"/>
      <w:lvlText w:val="(%2)"/>
      <w:numFmt w:val="lowerLetter"/>
      <w:start w:val="5"/>
    </w:lvl>
  </w:abstractNum>
  <w:abstractNum w:abstractNumId="110">
    <w:nsid w:val="3CA88ECF"/>
    <w:multiLevelType w:val="hybridMultilevel"/>
    <w:lvl w:ilvl="0">
      <w:lvlJc w:val="left"/>
      <w:lvlText w:val="(%1)"/>
      <w:numFmt w:val="lowerLetter"/>
      <w:start w:val="35"/>
    </w:lvl>
    <w:lvl w:ilvl="1">
      <w:lvlJc w:val="left"/>
      <w:lvlText w:val="%2"/>
      <w:numFmt w:val="lowerLetter"/>
      <w:start w:val="1"/>
    </w:lvl>
  </w:abstractNum>
  <w:abstractNum w:abstractNumId="111">
    <w:nsid w:val="6EBE4208"/>
    <w:multiLevelType w:val="hybridMultilevel"/>
    <w:lvl w:ilvl="0">
      <w:lvlJc w:val="left"/>
      <w:lvlText w:val="(%1)"/>
      <w:numFmt w:val="lowerLetter"/>
      <w:start w:val="1"/>
    </w:lvl>
  </w:abstractNum>
  <w:abstractNum w:abstractNumId="112">
    <w:nsid w:val="C058DF5"/>
    <w:multiLevelType w:val="hybridMultilevel"/>
    <w:lvl w:ilvl="0">
      <w:lvlJc w:val="left"/>
      <w:lvlText w:val="(%1)"/>
      <w:numFmt w:val="lowerRoman"/>
      <w:start w:val="1"/>
    </w:lvl>
  </w:abstractNum>
  <w:abstractNum w:abstractNumId="113">
    <w:nsid w:val="CBE5BE9"/>
    <w:multiLevelType w:val="hybridMultilevel"/>
    <w:lvl w:ilvl="0">
      <w:lvlJc w:val="left"/>
      <w:lvlText w:val="%1"/>
      <w:numFmt w:val="lowerLetter"/>
      <w:start w:val="1"/>
    </w:lvl>
    <w:lvl w:ilvl="1">
      <w:lvlJc w:val="left"/>
      <w:lvlText w:val="(%2)"/>
      <w:numFmt w:val="lowerLetter"/>
      <w:start w:val="2"/>
    </w:lvl>
  </w:abstractNum>
  <w:abstractNum w:abstractNumId="114">
    <w:nsid w:val="3102BBE2"/>
    <w:multiLevelType w:val="hybridMultilevel"/>
    <w:lvl w:ilvl="0">
      <w:lvlJc w:val="left"/>
      <w:lvlText w:val="(%1)"/>
      <w:numFmt w:val="lowerLetter"/>
      <w:start w:val="9"/>
    </w:lvl>
    <w:lvl w:ilvl="1">
      <w:lvlJc w:val="left"/>
      <w:lvlText w:val="%2"/>
      <w:numFmt w:val="lowerLetter"/>
      <w:start w:val="1"/>
    </w:lvl>
  </w:abstractNum>
  <w:abstractNum w:abstractNumId="115">
    <w:nsid w:val="26A02C5E"/>
    <w:multiLevelType w:val="hybridMultilevel"/>
    <w:lvl w:ilvl="0">
      <w:lvlJc w:val="left"/>
      <w:lvlText w:val="(%1)"/>
      <w:numFmt w:val="upperLetter"/>
      <w:start w:val="35"/>
    </w:lvl>
    <w:lvl w:ilvl="1">
      <w:lvlJc w:val="left"/>
      <w:lvlText w:val="(%2)"/>
      <w:numFmt w:val="lowerLetter"/>
      <w:start w:val="3"/>
    </w:lvl>
  </w:abstractNum>
  <w:abstractNum w:abstractNumId="116">
    <w:nsid w:val="541C8153"/>
    <w:multiLevelType w:val="hybridMultilevel"/>
    <w:lvl w:ilvl="0">
      <w:lvlJc w:val="left"/>
      <w:lvlText w:val="(%1)"/>
      <w:numFmt w:val="lowerLetter"/>
      <w:start w:val="4"/>
    </w:lvl>
  </w:abstractNum>
  <w:abstractNum w:abstractNumId="117">
    <w:nsid w:val="67906F60"/>
    <w:multiLevelType w:val="hybridMultilevel"/>
    <w:lvl w:ilvl="0">
      <w:lvlJc w:val="left"/>
      <w:lvlText w:val="(%1)"/>
      <w:numFmt w:val="lowerLetter"/>
      <w:start w:val="2"/>
    </w:lvl>
  </w:abstractNum>
  <w:abstractNum w:abstractNumId="118">
    <w:nsid w:val="10DB9DAA"/>
    <w:multiLevelType w:val="hybridMultilevel"/>
    <w:lvl w:ilvl="0">
      <w:lvlJc w:val="left"/>
      <w:lvlText w:val="(%1)"/>
      <w:numFmt w:val="lowerRoman"/>
      <w:start w:val="1"/>
    </w:lvl>
  </w:abstractNum>
  <w:abstractNum w:abstractNumId="119">
    <w:nsid w:val="697D2D2"/>
    <w:multiLevelType w:val="hybridMultilevel"/>
    <w:lvl w:ilvl="0">
      <w:lvlJc w:val="left"/>
      <w:lvlText w:val="(%1)"/>
      <w:numFmt w:val="lowerLetter"/>
      <w:start w:val="3"/>
    </w:lvl>
  </w:abstractNum>
  <w:abstractNum w:abstractNumId="120">
    <w:nsid w:val="6D68AB2"/>
    <w:multiLevelType w:val="hybridMultilevel"/>
    <w:lvl w:ilvl="0">
      <w:lvlJc w:val="left"/>
      <w:lvlText w:val="(%1)"/>
      <w:numFmt w:val="lowerRoman"/>
      <w:start w:val="1"/>
    </w:lvl>
  </w:abstractNum>
  <w:abstractNum w:abstractNumId="121">
    <w:nsid w:val="3A966CD0"/>
    <w:multiLevelType w:val="hybridMultilevel"/>
    <w:lvl w:ilvl="0">
      <w:lvlJc w:val="left"/>
      <w:lvlText w:val="(%1)"/>
      <w:numFmt w:val="lowerRoman"/>
      <w:start w:val="2"/>
    </w:lvl>
  </w:abstractNum>
  <w:abstractNum w:abstractNumId="122">
    <w:nsid w:val="63F37E85"/>
    <w:multiLevelType w:val="hybridMultilevel"/>
    <w:lvl w:ilvl="0">
      <w:lvlJc w:val="left"/>
      <w:lvlText w:val="%1"/>
      <w:numFmt w:val="lowerLetter"/>
      <w:start w:val="1"/>
    </w:lvl>
    <w:lvl w:ilvl="1">
      <w:lvlJc w:val="left"/>
      <w:lvlText w:val="(%2)"/>
      <w:numFmt w:val="lowerLetter"/>
      <w:start w:val="4"/>
    </w:lvl>
  </w:abstractNum>
  <w:abstractNum w:abstractNumId="123">
    <w:nsid w:val="5895F5FA"/>
    <w:multiLevelType w:val="hybridMultilevel"/>
    <w:lvl w:ilvl="0">
      <w:lvlJc w:val="left"/>
      <w:lvlText w:val="(%1)"/>
      <w:numFmt w:val="lowerLetter"/>
      <w:start w:val="35"/>
    </w:lvl>
    <w:lvl w:ilvl="1">
      <w:lvlJc w:val="left"/>
      <w:lvlText w:val="(%2)"/>
      <w:numFmt w:val="lowerLetter"/>
      <w:start w:val="5"/>
    </w:lvl>
  </w:abstractNum>
  <w:abstractNum w:abstractNumId="124">
    <w:nsid w:val="38A5D054"/>
    <w:multiLevelType w:val="hybridMultilevel"/>
    <w:lvl w:ilvl="0">
      <w:lvlJc w:val="left"/>
      <w:lvlText w:val="(%1)"/>
      <w:numFmt w:val="lowerLetter"/>
      <w:start w:val="6"/>
    </w:lvl>
  </w:abstractNum>
  <w:abstractNum w:abstractNumId="125">
    <w:nsid w:val="F3F09D8"/>
    <w:multiLevelType w:val="hybridMultilevel"/>
    <w:lvl w:ilvl="0">
      <w:lvlJc w:val="left"/>
      <w:lvlText w:val="(%1)"/>
      <w:numFmt w:val="lowerLetter"/>
      <w:start w:val="1"/>
    </w:lvl>
  </w:abstractNum>
  <w:abstractNum w:abstractNumId="126">
    <w:nsid w:val="4B793735"/>
    <w:multiLevelType w:val="hybridMultilevel"/>
    <w:lvl w:ilvl="0">
      <w:lvlJc w:val="left"/>
      <w:lvlText w:val="%1"/>
      <w:numFmt w:val="lowerLetter"/>
      <w:start w:val="1"/>
    </w:lvl>
    <w:lvl w:ilvl="1">
      <w:lvlJc w:val="left"/>
      <w:lvlText w:val="(%2)"/>
      <w:numFmt w:val="lowerLetter"/>
      <w:start w:val="2"/>
    </w:lvl>
  </w:abstractNum>
  <w:abstractNum w:abstractNumId="127">
    <w:nsid w:val="4A10B4E8"/>
    <w:multiLevelType w:val="hybridMultilevel"/>
    <w:lvl w:ilvl="0">
      <w:lvlJc w:val="left"/>
      <w:lvlText w:val="(%1)"/>
      <w:numFmt w:val="lowerLetter"/>
      <w:start w:val="25"/>
    </w:lvl>
    <w:lvl w:ilvl="1">
      <w:lvlJc w:val="left"/>
      <w:lvlText w:val="%2"/>
      <w:numFmt w:val="lowerLetter"/>
      <w:start w:val="1"/>
    </w:lvl>
  </w:abstractNum>
  <w:abstractNum w:abstractNumId="128">
    <w:nsid w:val="43D3BCD4"/>
    <w:multiLevelType w:val="hybridMultilevel"/>
    <w:lvl w:ilvl="0">
      <w:lvlJc w:val="left"/>
      <w:lvlText w:val="(%1)"/>
      <w:numFmt w:val="lowerLetter"/>
      <w:start w:val="3"/>
    </w:lvl>
  </w:abstractNum>
  <w:abstractNum w:abstractNumId="129">
    <w:nsid w:val="4C2A7166"/>
    <w:multiLevelType w:val="hybridMultilevel"/>
    <w:lvl w:ilvl="0">
      <w:lvlJc w:val="left"/>
      <w:lvlText w:val="(%1)"/>
      <w:numFmt w:val="lowerLetter"/>
      <w:start w:val="4"/>
    </w:lvl>
  </w:abstractNum>
  <w:abstractNum w:abstractNumId="130">
    <w:nsid w:val="2E534A82"/>
    <w:multiLevelType w:val="hybridMultilevel"/>
    <w:lvl w:ilvl="0">
      <w:lvlJc w:val="left"/>
      <w:lvlText w:val="(%1)"/>
      <w:numFmt w:val="lowerLetter"/>
      <w:start w:val="5"/>
    </w:lvl>
  </w:abstractNum>
  <w:abstractNum w:abstractNumId="131">
    <w:nsid w:val="26F2D364"/>
    <w:multiLevelType w:val="hybridMultilevel"/>
    <w:lvl w:ilvl="0">
      <w:lvlJc w:val="left"/>
      <w:lvlText w:val="(%1)"/>
      <w:numFmt w:val="lowerLetter"/>
      <w:start w:val="2"/>
    </w:lvl>
  </w:abstractNum>
  <w:abstractNum w:abstractNumId="132">
    <w:nsid w:val="71C1AF98"/>
    <w:multiLevelType w:val="hybridMultilevel"/>
    <w:lvl w:ilvl="0">
      <w:lvlJc w:val="left"/>
      <w:lvlText w:val="(%1)"/>
      <w:numFmt w:val="lowerLetter"/>
      <w:start w:val="4"/>
    </w:lvl>
  </w:abstractNum>
  <w:abstractNum w:abstractNumId="133">
    <w:nsid w:val="3D00B9D9"/>
    <w:multiLevelType w:val="hybridMultilevel"/>
    <w:lvl w:ilvl="0">
      <w:lvlJc w:val="left"/>
      <w:lvlText w:val="(%1)"/>
      <w:numFmt w:val="lowerRoman"/>
      <w:start w:val="1"/>
    </w:lvl>
  </w:abstractNum>
  <w:abstractNum w:abstractNumId="134">
    <w:nsid w:val="15BCABA8"/>
    <w:multiLevelType w:val="hybridMultilevel"/>
    <w:lvl w:ilvl="0">
      <w:lvlJc w:val="left"/>
      <w:lvlText w:val="(%1)"/>
      <w:numFmt w:val="lowerRoman"/>
      <w:start w:val="3"/>
    </w:lvl>
  </w:abstractNum>
  <w:abstractNum w:abstractNumId="135">
    <w:nsid w:val="4E0B9A87"/>
    <w:multiLevelType w:val="hybridMultilevel"/>
    <w:lvl w:ilvl="0">
      <w:lvlJc w:val="left"/>
      <w:lvlText w:val="(%1)"/>
      <w:numFmt w:val="lowerLetter"/>
      <w:start w:val="6"/>
    </w:lvl>
  </w:abstractNum>
  <w:abstractNum w:abstractNumId="136">
    <w:nsid w:val="434BAE75"/>
    <w:multiLevelType w:val="hybridMultilevel"/>
    <w:lvl w:ilvl="0">
      <w:lvlJc w:val="left"/>
      <w:lvlText w:val="(%1)"/>
      <w:numFmt w:val="lowerRoman"/>
      <w:start w:val="1"/>
    </w:lvl>
  </w:abstractNum>
  <w:abstractNum w:abstractNumId="137">
    <w:nsid w:val="4F38F265"/>
    <w:multiLevelType w:val="hybridMultilevel"/>
    <w:lvl w:ilvl="0">
      <w:lvlJc w:val="left"/>
      <w:lvlText w:val="(%1)"/>
      <w:numFmt w:val="lowerLetter"/>
      <w:start w:val="2"/>
    </w:lvl>
  </w:abstractNum>
  <w:abstractNum w:abstractNumId="138">
    <w:nsid w:val="4C502870"/>
    <w:multiLevelType w:val="hybridMultilevel"/>
    <w:lvl w:ilvl="0">
      <w:lvlJc w:val="left"/>
      <w:lvlText w:val="%1"/>
      <w:numFmt w:val="lowerLetter"/>
      <w:start w:val="1"/>
    </w:lvl>
    <w:lvl w:ilvl="1">
      <w:lvlJc w:val="left"/>
      <w:lvlText w:val="(%2)"/>
      <w:numFmt w:val="lowerLetter"/>
      <w:start w:val="4"/>
    </w:lvl>
  </w:abstractNum>
  <w:abstractNum w:abstractNumId="139">
    <w:nsid w:val="1DE8725A"/>
    <w:multiLevelType w:val="hybridMultilevel"/>
    <w:lvl w:ilvl="0">
      <w:lvlJc w:val="left"/>
      <w:lvlText w:val="(%1)"/>
      <w:numFmt w:val="lowerLetter"/>
      <w:start w:val="25"/>
    </w:lvl>
    <w:lvl w:ilvl="1">
      <w:lvlJc w:val="left"/>
      <w:lvlText w:val="(%2)"/>
      <w:numFmt w:val="lowerLetter"/>
      <w:start w:val="6"/>
    </w:lvl>
  </w:abstractNum>
  <w:abstractNum w:abstractNumId="140">
    <w:nsid w:val="6A37288A"/>
    <w:multiLevelType w:val="hybridMultilevel"/>
    <w:lvl w:ilvl="0">
      <w:lvlJc w:val="left"/>
      <w:lvlText w:val="(%1)"/>
      <w:numFmt w:val="lowerLetter"/>
      <w:start w:val="16"/>
    </w:lvl>
    <w:lvl w:ilvl="1">
      <w:lvlJc w:val="left"/>
      <w:lvlText w:val="(%2)"/>
      <w:numFmt w:val="lowerRoman"/>
      <w:start w:val="1"/>
    </w:lvl>
  </w:abstractNum>
  <w:abstractNum w:abstractNumId="141">
    <w:nsid w:val="8F8B73F"/>
    <w:multiLevelType w:val="hybridMultilevel"/>
    <w:lvl w:ilvl="0">
      <w:lvlJc w:val="left"/>
      <w:lvlText w:val="(%1)"/>
      <w:numFmt w:val="lowerLetter"/>
      <w:start w:val="2"/>
    </w:lvl>
  </w:abstractNum>
  <w:abstractNum w:abstractNumId="142">
    <w:nsid w:val="CA6B462"/>
    <w:multiLevelType w:val="hybridMultilevel"/>
    <w:lvl w:ilvl="0">
      <w:lvlJc w:val="left"/>
      <w:lvlText w:val="(%1)"/>
      <w:numFmt w:val="lowerLetter"/>
      <w:start w:val="1"/>
    </w:lvl>
  </w:abstractNum>
  <w:abstractNum w:abstractNumId="143">
    <w:nsid w:val="763CB680"/>
    <w:multiLevelType w:val="hybridMultilevel"/>
    <w:lvl w:ilvl="0">
      <w:lvlJc w:val="left"/>
      <w:lvlText w:val="(%1)"/>
      <w:numFmt w:val="lowerLetter"/>
      <w:start w:val="2"/>
    </w:lvl>
  </w:abstractNum>
  <w:abstractNum w:abstractNumId="144">
    <w:nsid w:val="15B71329"/>
    <w:multiLevelType w:val="hybridMultilevel"/>
    <w:lvl w:ilvl="0">
      <w:lvlJc w:val="left"/>
      <w:lvlText w:val="(%1)"/>
      <w:numFmt w:val="lowerLetter"/>
      <w:start w:val="35"/>
    </w:lvl>
    <w:lvl w:ilvl="1">
      <w:lvlJc w:val="left"/>
      <w:lvlText w:val="(%2)"/>
      <w:numFmt w:val="lowerLetter"/>
      <w:start w:val="2"/>
    </w:lvl>
  </w:abstractNum>
  <w:abstractNum w:abstractNumId="145">
    <w:nsid w:val="3DA97044"/>
    <w:multiLevelType w:val="hybridMultilevel"/>
    <w:lvl w:ilvl="0">
      <w:lvlJc w:val="left"/>
      <w:lvlText w:val="(%1)"/>
      <w:numFmt w:val="lowerLetter"/>
      <w:start w:val="1"/>
    </w:lvl>
  </w:abstractNum>
  <w:abstractNum w:abstractNumId="146">
    <w:nsid w:val="1CDCE2DE"/>
    <w:multiLevelType w:val="hybridMultilevel"/>
    <w:lvl w:ilvl="0">
      <w:lvlJc w:val="left"/>
      <w:lvlText w:val="(%1)"/>
      <w:numFmt w:val="lowerLetter"/>
      <w:start w:val="4"/>
    </w:lvl>
  </w:abstractNum>
  <w:abstractNum w:abstractNumId="147">
    <w:nsid w:val="69D394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8">
    <w:nsid w:val="2539DFA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49">
    <w:nsid w:val="2DB880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0">
    <w:nsid w:val="706B674E"/>
    <w:multiLevelType w:val="hybridMultilevel"/>
    <w:lvl w:ilvl="0">
      <w:lvlJc w:val="left"/>
      <w:lvlText w:val="(%1)"/>
      <w:numFmt w:val="lowerLetter"/>
      <w:start w:val="5"/>
    </w:lvl>
  </w:abstractNum>
  <w:abstractNum w:abstractNumId="151">
    <w:nsid w:val="2C106A57"/>
    <w:multiLevelType w:val="hybridMultilevel"/>
    <w:lvl w:ilvl="0">
      <w:lvlJc w:val="left"/>
      <w:lvlText w:val="(%1)"/>
      <w:numFmt w:val="lowerLetter"/>
      <w:start w:val="6"/>
    </w:lvl>
  </w:abstractNum>
  <w:abstractNum w:abstractNumId="152">
    <w:nsid w:val="684EED59"/>
    <w:multiLevelType w:val="hybridMultilevel"/>
    <w:lvl w:ilvl="0">
      <w:lvlJc w:val="left"/>
      <w:lvlText w:val="(%1)"/>
      <w:numFmt w:val="lowerLetter"/>
      <w:start w:val="13"/>
    </w:lvl>
  </w:abstractNum>
  <w:abstractNum w:abstractNumId="153">
    <w:nsid w:val="545EE5D3"/>
    <w:multiLevelType w:val="hybridMultilevel"/>
    <w:lvl w:ilvl="0">
      <w:lvlJc w:val="left"/>
      <w:lvlText w:val="(%1)"/>
      <w:numFmt w:val="lowerLetter"/>
      <w:start w:val="1"/>
    </w:lvl>
  </w:abstractNum>
  <w:abstractNum w:abstractNumId="154">
    <w:nsid w:val="4A66051"/>
    <w:multiLevelType w:val="hybridMultilevel"/>
    <w:lvl w:ilvl="0">
      <w:lvlJc w:val="left"/>
      <w:lvlText w:val="(%1)"/>
      <w:numFmt w:val="lowerLetter"/>
      <w:start w:val="1"/>
    </w:lvl>
  </w:abstractNum>
  <w:abstractNum w:abstractNumId="155">
    <w:nsid w:val="20F4BDAD"/>
    <w:multiLevelType w:val="hybridMultilevel"/>
    <w:lvl w:ilvl="0">
      <w:lvlJc w:val="left"/>
      <w:lvlText w:val="(%1)"/>
      <w:numFmt w:val="lowerLetter"/>
      <w:start w:val="2"/>
    </w:lvl>
  </w:abstractNum>
  <w:abstractNum w:abstractNumId="156">
    <w:nsid w:val="639DEFAC"/>
    <w:multiLevelType w:val="hybridMultilevel"/>
    <w:lvl w:ilvl="0">
      <w:lvlJc w:val="left"/>
      <w:lvlText w:val="(%1)"/>
      <w:numFmt w:val="lowerLetter"/>
      <w:start w:val="2"/>
    </w:lvl>
  </w:abstractNum>
  <w:abstractNum w:abstractNumId="157">
    <w:nsid w:val="501F9786"/>
    <w:multiLevelType w:val="hybridMultilevel"/>
    <w:lvl w:ilvl="0">
      <w:lvlJc w:val="left"/>
      <w:lvlText w:val="(%1)"/>
      <w:numFmt w:val="lowerLetter"/>
      <w:start w:val="2"/>
    </w:lvl>
  </w:abstractNum>
  <w:abstractNum w:abstractNumId="158">
    <w:nsid w:val="6B057295"/>
    <w:multiLevelType w:val="hybridMultilevel"/>
    <w:lvl w:ilvl="0">
      <w:lvlJc w:val="left"/>
      <w:lvlText w:val="(%1)"/>
      <w:numFmt w:val="lowerRoman"/>
      <w:start w:val="1"/>
    </w:lvl>
  </w:abstractNum>
  <w:abstractNum w:abstractNumId="159">
    <w:nsid w:val="2771AC80"/>
    <w:multiLevelType w:val="hybridMultilevel"/>
    <w:lvl w:ilvl="0">
      <w:lvlJc w:val="left"/>
      <w:lvlText w:val="(%1)"/>
      <w:numFmt w:val="lowerRoman"/>
      <w:start w:val="4"/>
    </w:lvl>
  </w:abstractNum>
  <w:abstractNum w:abstractNumId="160">
    <w:nsid w:val="1C4A08EC"/>
    <w:multiLevelType w:val="hybridMultilevel"/>
    <w:lvl w:ilvl="0">
      <w:lvlJc w:val="left"/>
      <w:lvlText w:val="%1."/>
      <w:numFmt w:val="upperLetter"/>
      <w:start w:val="1"/>
    </w:lvl>
  </w:abstractNum>
  <w:abstractNum w:abstractNumId="161">
    <w:nsid w:val="1958BD17"/>
    <w:multiLevelType w:val="hybridMultilevel"/>
    <w:lvl w:ilvl="0">
      <w:lvlJc w:val="left"/>
      <w:lvlText w:val="(%1)"/>
      <w:numFmt w:val="lowerLetter"/>
      <w:start w:val="1"/>
    </w:lvl>
  </w:abstractNum>
  <w:abstractNum w:abstractNumId="162">
    <w:nsid w:val="4E647FE4"/>
    <w:multiLevelType w:val="hybridMultilevel"/>
    <w:lvl w:ilvl="0">
      <w:lvlJc w:val="left"/>
      <w:lvlText w:val="%1"/>
      <w:numFmt w:val="upperLetter"/>
      <w:start w:val="1"/>
    </w:lvl>
    <w:lvl w:ilvl="1">
      <w:lvlJc w:val="left"/>
      <w:lvlText w:val="(%2)"/>
      <w:numFmt w:val="lowerLetter"/>
      <w:start w:val="2"/>
    </w:lvl>
  </w:abstractNum>
  <w:abstractNum w:abstractNumId="163">
    <w:nsid w:val="E0BB885"/>
    <w:multiLevelType w:val="hybridMultilevel"/>
    <w:lvl w:ilvl="0">
      <w:lvlJc w:val="left"/>
      <w:lvlText w:val="(%1)"/>
      <w:numFmt w:val="upperLetter"/>
      <w:start w:val="1"/>
    </w:lvl>
    <w:lvl w:ilvl="1">
      <w:lvlJc w:val="left"/>
      <w:lvlText w:val="%2"/>
      <w:numFmt w:val="lowerLetter"/>
      <w:start w:val="1"/>
    </w:lvl>
  </w:abstractNum>
  <w:abstractNum w:abstractNumId="164">
    <w:nsid w:val="565976F1"/>
    <w:multiLevelType w:val="hybridMultilevel"/>
    <w:lvl w:ilvl="0">
      <w:lvlJc w:val="left"/>
      <w:lvlText w:val="(%1)"/>
      <w:numFmt w:val="lowerLetter"/>
      <w:start w:val="3"/>
    </w:lvl>
  </w:abstractNum>
  <w:abstractNum w:abstractNumId="165">
    <w:nsid w:val="64212B8C"/>
    <w:multiLevelType w:val="hybridMultilevel"/>
    <w:lvl w:ilvl="0">
      <w:lvlJc w:val="left"/>
      <w:lvlText w:val="(%1)"/>
      <w:numFmt w:val="lowerLetter"/>
      <w:start w:val="10"/>
    </w:lvl>
  </w:abstractNum>
  <w:abstractNum w:abstractNumId="166">
    <w:nsid w:val="5C17530C"/>
    <w:multiLevelType w:val="hybridMultilevel"/>
    <w:lvl w:ilvl="0">
      <w:lvlJc w:val="left"/>
      <w:lvlText w:val="(%1)"/>
      <w:numFmt w:val="lowerLetter"/>
      <w:start w:val="1"/>
    </w:lvl>
  </w:abstractNum>
  <w:abstractNum w:abstractNumId="167">
    <w:nsid w:val="19A52566"/>
    <w:multiLevelType w:val="hybridMultilevel"/>
    <w:lvl w:ilvl="0">
      <w:lvlJc w:val="left"/>
      <w:lvlText w:val="(%1)"/>
      <w:numFmt w:val="lowerLetter"/>
      <w:start w:val="2"/>
    </w:lvl>
  </w:abstractNum>
  <w:abstractNum w:abstractNumId="168">
    <w:nsid w:val="335A1DF1"/>
    <w:multiLevelType w:val="hybridMultilevel"/>
    <w:lvl w:ilvl="0">
      <w:lvlJc w:val="left"/>
      <w:lvlText w:val="(%1)"/>
      <w:numFmt w:val="lowerLetter"/>
      <w:start w:val="4"/>
    </w:lvl>
  </w:abstractNum>
  <w:abstractNum w:abstractNumId="169">
    <w:nsid w:val="28677B7C"/>
    <w:multiLevelType w:val="hybridMultilevel"/>
    <w:lvl w:ilvl="0">
      <w:lvlJc w:val="left"/>
      <w:lvlText w:val="(%1)"/>
      <w:numFmt w:val="lowerLetter"/>
      <w:start w:val="61"/>
    </w:lvl>
    <w:lvl w:ilvl="1">
      <w:lvlJc w:val="left"/>
      <w:lvlText w:val="(%2)"/>
      <w:numFmt w:val="lowerLetter"/>
      <w:start w:val="1"/>
    </w:lvl>
  </w:abstractNum>
  <w:abstractNum w:abstractNumId="170">
    <w:nsid w:val="378D97C0"/>
    <w:multiLevelType w:val="hybridMultilevel"/>
    <w:lvl w:ilvl="0">
      <w:lvlJc w:val="left"/>
      <w:lvlText w:val="(%1)"/>
      <w:numFmt w:val="lowerRoman"/>
      <w:start w:val="1"/>
    </w:lvl>
  </w:abstractNum>
  <w:abstractNum w:abstractNumId="171">
    <w:nsid w:val="1D91467C"/>
    <w:multiLevelType w:val="hybridMultilevel"/>
    <w:lvl w:ilvl="0">
      <w:lvlJc w:val="left"/>
      <w:lvlText w:val="%1"/>
      <w:numFmt w:val="lowerRoman"/>
      <w:start w:val="1"/>
    </w:lvl>
    <w:lvl w:ilvl="1">
      <w:lvlJc w:val="left"/>
      <w:lvlText w:val="(%2)"/>
      <w:numFmt w:val="lowerRoman"/>
      <w:start w:val="3"/>
    </w:lvl>
  </w:abstractNum>
  <w:abstractNum w:abstractNumId="172">
    <w:nsid w:val="316032BB"/>
    <w:multiLevelType w:val="hybridMultilevel"/>
    <w:lvl w:ilvl="0">
      <w:lvlJc w:val="left"/>
      <w:lvlText w:val="(%1)"/>
      <w:numFmt w:val="lowerRoman"/>
      <w:start w:val="2"/>
    </w:lvl>
    <w:lvl w:ilvl="1">
      <w:lvlJc w:val="left"/>
      <w:lvlText w:val="%2"/>
      <w:numFmt w:val="lowerRoman"/>
      <w:start w:val="1"/>
    </w:lvl>
  </w:abstractNum>
  <w:abstractNum w:abstractNumId="173">
    <w:nsid w:val="44344C22"/>
    <w:multiLevelType w:val="hybridMultilevel"/>
    <w:lvl w:ilvl="0">
      <w:lvlJc w:val="left"/>
      <w:lvlText w:val="(%1)"/>
      <w:numFmt w:val="lowerLetter"/>
      <w:start w:val="2"/>
    </w:lvl>
  </w:abstractNum>
  <w:abstractNum w:abstractNumId="174">
    <w:nsid w:val="13CDFCFC"/>
    <w:multiLevelType w:val="hybridMultilevel"/>
    <w:lvl w:ilvl="0">
      <w:lvlJc w:val="left"/>
      <w:lvlText w:val="(%1)"/>
      <w:numFmt w:val="lowerRoman"/>
      <w:start w:val="1"/>
    </w:lvl>
  </w:abstractNum>
  <w:abstractNum w:abstractNumId="175">
    <w:nsid w:val="471745E4"/>
    <w:multiLevelType w:val="hybridMultilevel"/>
    <w:lvl w:ilvl="0">
      <w:lvlJc w:val="left"/>
      <w:lvlText w:val="(%1)"/>
      <w:numFmt w:val="lowerRoman"/>
      <w:start w:val="3"/>
    </w:lvl>
  </w:abstractNum>
  <w:abstractNum w:abstractNumId="176">
    <w:nsid w:val="1DDBC66"/>
    <w:multiLevelType w:val="hybridMultilevel"/>
    <w:lvl w:ilvl="0">
      <w:lvlJc w:val="left"/>
      <w:lvlText w:val="(%1)"/>
      <w:numFmt w:val="lowerRoman"/>
      <w:start w:val="1"/>
    </w:lvl>
    <w:lvl w:ilvl="1">
      <w:lvlJc w:val="left"/>
      <w:lvlText w:val="%2"/>
      <w:numFmt w:val="upperLetter"/>
      <w:start w:val="1"/>
    </w:lvl>
  </w:abstractNum>
  <w:abstractNum w:abstractNumId="177">
    <w:nsid w:val="30AADFDA"/>
    <w:multiLevelType w:val="hybridMultilevel"/>
    <w:lvl w:ilvl="0">
      <w:lvlJc w:val="left"/>
      <w:lvlText w:val="(%1)"/>
      <w:numFmt w:val="lowerRoman"/>
      <w:start w:val="1"/>
    </w:lvl>
  </w:abstractNum>
  <w:abstractNum w:abstractNumId="178">
    <w:nsid w:val="30EADA61"/>
    <w:multiLevelType w:val="hybridMultilevel"/>
    <w:lvl w:ilvl="0">
      <w:lvlJc w:val="left"/>
      <w:lvlText w:val="%1"/>
      <w:numFmt w:val="upperLetter"/>
      <w:start w:val="1"/>
    </w:lvl>
    <w:lvl w:ilvl="1">
      <w:lvlJc w:val="left"/>
      <w:lvlText w:val="(%2)"/>
      <w:numFmt w:val="lowerRoman"/>
      <w:start w:val="5"/>
    </w:lvl>
  </w:abstractNum>
  <w:abstractNum w:abstractNumId="179">
    <w:nsid w:val="27179C0B"/>
    <w:multiLevelType w:val="hybridMultilevel"/>
    <w:lvl w:ilvl="0">
      <w:lvlJc w:val="left"/>
      <w:lvlText w:val="(%1)"/>
      <w:numFmt w:val="upperLetter"/>
      <w:start w:val="4"/>
    </w:lvl>
    <w:lvl w:ilvl="1">
      <w:lvlJc w:val="left"/>
      <w:lvlText w:val="(%2)"/>
      <w:numFmt w:val="lowerRoman"/>
      <w:start w:val="6"/>
    </w:lvl>
  </w:abstractNum>
  <w:abstractNum w:abstractNumId="180">
    <w:nsid w:val="5E636063"/>
    <w:multiLevelType w:val="hybridMultilevel"/>
    <w:lvl w:ilvl="0">
      <w:lvlJc w:val="left"/>
      <w:lvlText w:val="(%1)"/>
      <w:numFmt w:val="lowerRoman"/>
      <w:start w:val="8"/>
    </w:lvl>
  </w:abstractNum>
  <w:abstractNum w:abstractNumId="181">
    <w:nsid w:val="215641AF"/>
    <w:multiLevelType w:val="hybridMultilevel"/>
    <w:lvl w:ilvl="0">
      <w:lvlJc w:val="left"/>
      <w:lvlText w:val="(%1)"/>
      <w:numFmt w:val="lowerRoman"/>
      <w:start w:val="19"/>
    </w:lvl>
  </w:abstractNum>
  <w:abstractNum w:abstractNumId="182">
    <w:nsid w:val="53280662"/>
    <w:multiLevelType w:val="hybridMultilevel"/>
    <w:lvl w:ilvl="0">
      <w:lvlJc w:val="left"/>
      <w:lvlText w:val="%1"/>
      <w:numFmt w:val="upperLetter"/>
      <w:start w:val="1"/>
    </w:lvl>
    <w:lvl w:ilvl="1">
      <w:lvlJc w:val="left"/>
      <w:lvlText w:val="(%2)"/>
      <w:numFmt w:val="lowerRoman"/>
      <w:start w:val="1"/>
    </w:lvl>
  </w:abstractNum>
  <w:abstractNum w:abstractNumId="183">
    <w:nsid w:val="46B24DBC"/>
    <w:multiLevelType w:val="hybridMultilevel"/>
    <w:lvl w:ilvl="0">
      <w:lvlJc w:val="left"/>
      <w:lvlText w:val="(%1)"/>
      <w:numFmt w:val="upperLetter"/>
      <w:start w:val="4"/>
    </w:lvl>
    <w:lvl w:ilvl="1">
      <w:lvlJc w:val="left"/>
      <w:lvlText w:val="(%2)"/>
      <w:numFmt w:val="lowerRoman"/>
      <w:start w:val="4"/>
    </w:lvl>
  </w:abstractNum>
  <w:abstractNum w:abstractNumId="184">
    <w:nsid w:val="75B52783"/>
    <w:multiLevelType w:val="hybridMultilevel"/>
    <w:lvl w:ilvl="0">
      <w:lvlJc w:val="left"/>
      <w:lvlText w:val="%1"/>
      <w:numFmt w:val="lowerLetter"/>
      <w:start w:val="1"/>
    </w:lvl>
    <w:lvl w:ilvl="1">
      <w:lvlJc w:val="left"/>
      <w:lvlText w:val="(%2)"/>
      <w:numFmt w:val="lowerRoman"/>
      <w:start w:val="5"/>
    </w:lvl>
  </w:abstractNum>
  <w:abstractNum w:abstractNumId="185">
    <w:nsid w:val="57CE66B4"/>
    <w:multiLevelType w:val="hybridMultilevel"/>
    <w:lvl w:ilvl="0">
      <w:lvlJc w:val="left"/>
      <w:lvlText w:val="(%1)"/>
      <w:numFmt w:val="lowerLetter"/>
      <w:start w:val="2"/>
    </w:lvl>
    <w:lvl w:ilvl="1">
      <w:lvlJc w:val="left"/>
      <w:lvlText w:val="(%2)"/>
      <w:numFmt w:val="lowerRoman"/>
      <w:start w:val="9"/>
    </w:lvl>
  </w:abstractNum>
  <w:abstractNum w:abstractNumId="186">
    <w:nsid w:val="67A70B69"/>
    <w:multiLevelType w:val="hybridMultilevel"/>
    <w:lvl w:ilvl="0">
      <w:lvlJc w:val="left"/>
      <w:lvlText w:val="(%1)"/>
      <w:numFmt w:val="lowerRoman"/>
      <w:start w:val="11"/>
    </w:lvl>
  </w:abstractNum>
  <w:abstractNum w:abstractNumId="187">
    <w:nsid w:val="5953172F"/>
    <w:multiLevelType w:val="hybridMultilevel"/>
    <w:lvl w:ilvl="0">
      <w:lvlJc w:val="left"/>
      <w:lvlText w:val="(%1)"/>
      <w:numFmt w:val="lowerRoman"/>
      <w:start w:val="21"/>
    </w:lvl>
  </w:abstractNum>
  <w:abstractNum w:abstractNumId="188">
    <w:nsid w:val="27EDFE3A"/>
    <w:multiLevelType w:val="hybridMultilevel"/>
    <w:lvl w:ilvl="0">
      <w:lvlJc w:val="left"/>
      <w:lvlText w:val="(%1)"/>
      <w:numFmt w:val="lowerRoman"/>
      <w:start w:val="1"/>
    </w:lvl>
  </w:abstractNum>
  <w:abstractNum w:abstractNumId="189">
    <w:nsid w:val="52AC7DFF"/>
    <w:multiLevelType w:val="hybridMultilevel"/>
    <w:lvl w:ilvl="0">
      <w:lvlJc w:val="left"/>
      <w:lvlText w:val="%1"/>
      <w:numFmt w:val="upperLetter"/>
      <w:start w:val="1"/>
    </w:lvl>
    <w:lvl w:ilvl="1">
      <w:lvlJc w:val="left"/>
      <w:lvlText w:val="(%2)"/>
      <w:numFmt w:val="lowerRoman"/>
      <w:start w:val="3"/>
    </w:lvl>
  </w:abstractNum>
  <w:abstractNum w:abstractNumId="190">
    <w:nsid w:val="C4C3AF"/>
    <w:multiLevelType w:val="hybridMultilevel"/>
    <w:lvl w:ilvl="0">
      <w:lvlJc w:val="left"/>
      <w:lvlText w:val="(%1)"/>
      <w:numFmt w:val="upperLetter"/>
      <w:start w:val="2"/>
    </w:lvl>
    <w:lvl w:ilvl="1">
      <w:lvlJc w:val="left"/>
      <w:lvlText w:val="(%2)"/>
      <w:numFmt w:val="lowerRoman"/>
      <w:start w:val="8"/>
    </w:lvl>
  </w:abstractNum>
  <w:abstractNum w:abstractNumId="191">
    <w:nsid w:val="44380727"/>
    <w:multiLevelType w:val="hybridMultilevel"/>
    <w:lvl w:ilvl="0">
      <w:lvlJc w:val="left"/>
      <w:lvlText w:val="(%1)"/>
      <w:numFmt w:val="lowerRoman"/>
      <w:start w:val="1"/>
    </w:lvl>
  </w:abstractNum>
  <w:abstractNum w:abstractNumId="192">
    <w:nsid w:val="6C053B16"/>
    <w:multiLevelType w:val="hybridMultilevel"/>
    <w:lvl w:ilvl="0">
      <w:lvlJc w:val="left"/>
      <w:lvlText w:val="%1"/>
      <w:numFmt w:val="upperLetter"/>
      <w:start w:val="1"/>
    </w:lvl>
    <w:lvl w:ilvl="1">
      <w:lvlJc w:val="left"/>
      <w:lvlText w:val="(%2)"/>
      <w:numFmt w:val="lowerRoman"/>
      <w:start w:val="4"/>
    </w:lvl>
  </w:abstractNum>
  <w:abstractNum w:abstractNumId="193">
    <w:nsid w:val="4F294393"/>
    <w:multiLevelType w:val="hybridMultilevel"/>
    <w:lvl w:ilvl="0">
      <w:lvlJc w:val="left"/>
      <w:lvlText w:val="(%1)"/>
      <w:numFmt w:val="upperLetter"/>
      <w:start w:val="2"/>
    </w:lvl>
    <w:lvl w:ilvl="1">
      <w:lvlJc w:val="left"/>
      <w:lvlText w:val="%2"/>
      <w:numFmt w:val="lowerRoman"/>
      <w:start w:val="1"/>
    </w:lvl>
  </w:abstractNum>
  <w:abstractNum w:abstractNumId="194">
    <w:nsid w:val="5243BFAC"/>
    <w:multiLevelType w:val="hybridMultilevel"/>
    <w:lvl w:ilvl="0">
      <w:lvlJc w:val="left"/>
      <w:lvlText w:val="(%1)"/>
      <w:numFmt w:val="upperLetter"/>
      <w:start w:val="4"/>
    </w:lvl>
    <w:lvl w:ilvl="1">
      <w:lvlJc w:val="left"/>
      <w:lvlText w:val="(%2)"/>
      <w:numFmt w:val="lowerRoman"/>
      <w:start w:val="7"/>
    </w:lvl>
  </w:abstractNum>
  <w:abstractNum w:abstractNumId="195">
    <w:nsid w:val="425EB207"/>
    <w:multiLevelType w:val="hybridMultilevel"/>
    <w:lvl w:ilvl="0">
      <w:lvlJc w:val="left"/>
      <w:lvlText w:val="(%1)"/>
      <w:numFmt w:val="upperLetter"/>
      <w:start w:val="2"/>
    </w:lvl>
    <w:lvl w:ilvl="1">
      <w:lvlJc w:val="left"/>
      <w:lvlText w:val="%2"/>
      <w:numFmt w:val="lowerRoman"/>
      <w:start w:val="1"/>
    </w:lvl>
  </w:abstractNum>
  <w:abstractNum w:abstractNumId="196">
    <w:nsid w:val="334A6F1F"/>
    <w:multiLevelType w:val="hybridMultilevel"/>
    <w:lvl w:ilvl="0">
      <w:lvlJc w:val="left"/>
      <w:lvlText w:val="%1"/>
      <w:numFmt w:val="upperLetter"/>
      <w:start w:val="1"/>
    </w:lvl>
    <w:lvl w:ilvl="1">
      <w:lvlJc w:val="left"/>
      <w:lvlText w:val="(%2)"/>
      <w:numFmt w:val="lowerRoman"/>
      <w:start w:val="13"/>
    </w:lvl>
  </w:abstractNum>
  <w:abstractNum w:abstractNumId="197">
    <w:nsid w:val="2E5B12B8"/>
    <w:multiLevelType w:val="hybridMultilevel"/>
    <w:lvl w:ilvl="0">
      <w:lvlJc w:val="left"/>
      <w:lvlText w:val="(%1)"/>
      <w:numFmt w:val="upperLetter"/>
      <w:start w:val="2"/>
    </w:lvl>
    <w:lvl w:ilvl="1">
      <w:lvlJc w:val="left"/>
      <w:lvlText w:val="(%2)"/>
      <w:numFmt w:val="lowerRoman"/>
      <w:start w:val="16"/>
    </w:lvl>
  </w:abstractNum>
  <w:abstractNum w:abstractNumId="198">
    <w:nsid w:val="5C03D76D"/>
    <w:multiLevelType w:val="hybridMultilevel"/>
    <w:lvl w:ilvl="0">
      <w:lvlJc w:val="left"/>
      <w:lvlText w:val="(%1)"/>
      <w:numFmt w:val="lowerRoman"/>
      <w:start w:val="18"/>
    </w:lvl>
  </w:abstractNum>
  <w:abstractNum w:abstractNumId="199">
    <w:nsid w:val="66A48D11"/>
    <w:multiLevelType w:val="hybridMultilevel"/>
    <w:lvl w:ilvl="0">
      <w:lvlJc w:val="left"/>
      <w:lvlText w:val="(%1)"/>
      <w:numFmt w:val="lowerRoman"/>
      <w:start w:val="1"/>
    </w:lvl>
  </w:abstractNum>
  <w:abstractNum w:abstractNumId="200">
    <w:nsid w:val="56C28E34"/>
    <w:multiLevelType w:val="hybridMultilevel"/>
    <w:lvl w:ilvl="0">
      <w:lvlJc w:val="left"/>
      <w:lvlText w:val="(%1)"/>
      <w:numFmt w:val="lowerLetter"/>
      <w:start w:val="1"/>
    </w:lvl>
    <w:lvl w:ilvl="1">
      <w:lvlJc w:val="left"/>
      <w:lvlText w:val="(%2)"/>
      <w:numFmt w:val="lowerRoman"/>
      <w:start w:val="8"/>
    </w:lvl>
  </w:abstractNum>
  <w:abstractNum w:abstractNumId="201">
    <w:nsid w:val="13916F2D"/>
    <w:multiLevelType w:val="hybridMultilevel"/>
    <w:lvl w:ilvl="0">
      <w:lvlJc w:val="left"/>
      <w:lvlText w:val="(%1)"/>
      <w:numFmt w:val="lowerRoman"/>
      <w:start w:val="1"/>
    </w:lvl>
  </w:abstractNum>
  <w:abstractNum w:abstractNumId="202">
    <w:nsid w:val="435D38D"/>
    <w:multiLevelType w:val="hybridMultilevel"/>
    <w:lvl w:ilvl="0">
      <w:lvlJc w:val="left"/>
      <w:lvlText w:val="%1"/>
      <w:numFmt w:val="lowerRoman"/>
      <w:start w:val="1"/>
    </w:lvl>
    <w:lvl w:ilvl="1">
      <w:lvlJc w:val="left"/>
      <w:lvlText w:val="(%2)"/>
      <w:numFmt w:val="lowerRoman"/>
      <w:start w:val="2"/>
    </w:lvl>
  </w:abstractNum>
  <w:abstractNum w:abstractNumId="203">
    <w:nsid w:val="822C0EF"/>
    <w:multiLevelType w:val="hybridMultilevel"/>
    <w:lvl w:ilvl="0">
      <w:lvlJc w:val="left"/>
      <w:lvlText w:val="(%1)"/>
      <w:numFmt w:val="lowerRoman"/>
      <w:start w:val="1"/>
    </w:lvl>
    <w:lvl w:ilvl="1">
      <w:lvlJc w:val="left"/>
      <w:lvlText w:val="(%2)"/>
      <w:numFmt w:val="lowerRoman"/>
      <w:start w:val="6"/>
    </w:lvl>
  </w:abstractNum>
  <w:abstractNum w:abstractNumId="204">
    <w:nsid w:val="57C5BB4F"/>
    <w:multiLevelType w:val="hybridMultilevel"/>
    <w:lvl w:ilvl="0">
      <w:lvlJc w:val="left"/>
      <w:lvlText w:val="(%1)"/>
      <w:numFmt w:val="lowerRoman"/>
      <w:start w:val="1"/>
    </w:lvl>
  </w:abstractNum>
  <w:abstractNum w:abstractNumId="205">
    <w:nsid w:val="1803D089"/>
    <w:multiLevelType w:val="hybridMultilevel"/>
    <w:lvl w:ilvl="0">
      <w:lvlJc w:val="left"/>
      <w:lvlText w:val="%1"/>
      <w:numFmt w:val="lowerRoman"/>
      <w:start w:val="1"/>
    </w:lvl>
    <w:lvl w:ilvl="1">
      <w:lvlJc w:val="left"/>
      <w:lvlText w:val="(%2)"/>
      <w:numFmt w:val="lowerRoman"/>
      <w:start w:val="2"/>
    </w:lvl>
  </w:abstractNum>
  <w:abstractNum w:abstractNumId="206">
    <w:nsid w:val="4F3A06D4"/>
    <w:multiLevelType w:val="hybridMultilevel"/>
    <w:lvl w:ilvl="0">
      <w:lvlJc w:val="left"/>
      <w:lvlText w:val="(%1)"/>
      <w:numFmt w:val="lowerRoman"/>
      <w:start w:val="1"/>
    </w:lvl>
    <w:lvl w:ilvl="1">
      <w:lvlJc w:val="left"/>
      <w:lvlText w:val="(%2)"/>
      <w:numFmt w:val="lowerRoman"/>
      <w:start w:val="10"/>
    </w:lvl>
  </w:abstractNum>
  <w:abstractNum w:abstractNumId="207">
    <w:nsid w:val="59A377B6"/>
    <w:multiLevelType w:val="hybridMultilevel"/>
    <w:lvl w:ilvl="0">
      <w:lvlJc w:val="left"/>
      <w:lvlText w:val="(%1)"/>
      <w:numFmt w:val="lowerRoman"/>
      <w:start w:val="12"/>
    </w:lvl>
  </w:abstractNum>
  <w:abstractNum w:abstractNumId="208">
    <w:nsid w:val="48AEB063"/>
    <w:multiLevelType w:val="hybridMultilevel"/>
    <w:lvl w:ilvl="0">
      <w:lvlJc w:val="left"/>
      <w:lvlText w:val="%1."/>
      <w:numFmt w:val="upperLetter"/>
      <w:start w:val="4"/>
    </w:lvl>
  </w:abstractNum>
  <w:abstractNum w:abstractNumId="209">
    <w:nsid w:val="24E135"/>
    <w:multiLevelType w:val="hybridMultilevel"/>
    <w:lvl w:ilvl="0">
      <w:lvlJc w:val="left"/>
      <w:lvlText w:val="(%1)"/>
      <w:numFmt w:val="lowerLetter"/>
      <w:start w:val="1"/>
    </w:lvl>
  </w:abstractNum>
  <w:abstractNum w:abstractNumId="210">
    <w:nsid w:val="BB13C1"/>
    <w:multiLevelType w:val="hybridMultilevel"/>
    <w:lvl w:ilvl="0">
      <w:lvlJc w:val="left"/>
      <w:lvlText w:val="%1"/>
      <w:numFmt w:val="lowerRoman"/>
      <w:start w:val="1"/>
    </w:lvl>
    <w:lvl w:ilvl="1">
      <w:lvlJc w:val="left"/>
      <w:lvlText w:val="(%2)"/>
      <w:numFmt w:val="lowerLetter"/>
      <w:start w:val="6"/>
    </w:lvl>
  </w:abstractNum>
  <w:abstractNum w:abstractNumId="211">
    <w:nsid w:val="271210C7"/>
    <w:multiLevelType w:val="hybridMultilevel"/>
    <w:lvl w:ilvl="0">
      <w:lvlJc w:val="left"/>
      <w:lvlText w:val="(%1)"/>
      <w:numFmt w:val="lowerRoman"/>
      <w:start w:val="8"/>
    </w:lvl>
    <w:lvl w:ilvl="1">
      <w:lvlJc w:val="left"/>
      <w:lvlText w:val="(%2)"/>
      <w:numFmt w:val="lowerLetter"/>
      <w:start w:val="8"/>
    </w:lvl>
  </w:abstractNum>
  <w:abstractNum w:abstractNumId="212">
    <w:nsid w:val="217B22E4"/>
    <w:multiLevelType w:val="hybridMultilevel"/>
    <w:lvl w:ilvl="0">
      <w:lvlJc w:val="left"/>
      <w:lvlText w:val="(%1)"/>
      <w:numFmt w:val="lowerLetter"/>
      <w:start w:val="10"/>
    </w:lvl>
  </w:abstractNum>
  <w:abstractNum w:abstractNumId="213">
    <w:nsid w:val="53E31A24"/>
    <w:multiLevelType w:val="hybridMultilevel"/>
    <w:lvl w:ilvl="0">
      <w:lvlJc w:val="left"/>
      <w:lvlText w:val="(%1)"/>
      <w:numFmt w:val="lowerLetter"/>
      <w:start w:val="1"/>
    </w:lvl>
  </w:abstractNum>
  <w:abstractNum w:abstractNumId="214">
    <w:nsid w:val="6DC45E83"/>
    <w:multiLevelType w:val="hybridMultilevel"/>
    <w:lvl w:ilvl="0">
      <w:lvlJc w:val="left"/>
      <w:lvlText w:val="(%1)"/>
      <w:numFmt w:val="lowerRoman"/>
      <w:start w:val="1"/>
    </w:lvl>
  </w:abstractNum>
  <w:abstractNum w:abstractNumId="215">
    <w:nsid w:val="17304A67"/>
    <w:multiLevelType w:val="hybridMultilevel"/>
    <w:lvl w:ilvl="0">
      <w:lvlJc w:val="left"/>
      <w:lvlText w:val="(%1)"/>
      <w:numFmt w:val="lowerLetter"/>
      <w:start w:val="2"/>
    </w:lvl>
  </w:abstractNum>
  <w:abstractNum w:abstractNumId="216">
    <w:nsid w:val="2BB180D8"/>
    <w:multiLevelType w:val="hybridMultilevel"/>
    <w:lvl w:ilvl="0">
      <w:lvlJc w:val="left"/>
      <w:lvlText w:val="(%1)"/>
      <w:numFmt w:val="lowerRoman"/>
      <w:start w:val="1"/>
    </w:lvl>
  </w:abstractNum>
  <w:abstractNum w:abstractNumId="217">
    <w:nsid w:val="556B69ED"/>
    <w:multiLevelType w:val="hybridMultilevel"/>
    <w:lvl w:ilvl="0">
      <w:lvlJc w:val="left"/>
      <w:lvlText w:val="(%1)"/>
      <w:numFmt w:val="lowerRoman"/>
      <w:start w:val="3"/>
    </w:lvl>
  </w:abstractNum>
  <w:abstractNum w:abstractNumId="218">
    <w:nsid w:val="70836196"/>
    <w:multiLevelType w:val="hybridMultilevel"/>
    <w:lvl w:ilvl="0">
      <w:lvlJc w:val="left"/>
      <w:lvlText w:val="(%1)"/>
      <w:numFmt w:val="lowerLetter"/>
      <w:start w:val="2"/>
    </w:lvl>
  </w:abstractNum>
  <w:abstractNum w:abstractNumId="219">
    <w:nsid w:val="539F7F12"/>
    <w:multiLevelType w:val="hybridMultilevel"/>
    <w:lvl w:ilvl="0">
      <w:lvlJc w:val="left"/>
      <w:lvlText w:val="(%1)"/>
      <w:numFmt w:val="lowerLetter"/>
      <w:start w:val="2"/>
    </w:lvl>
  </w:abstractNum>
  <w:abstractNum w:abstractNumId="220">
    <w:nsid w:val="2817E7EC"/>
    <w:multiLevelType w:val="hybridMultilevel"/>
    <w:lvl w:ilvl="0">
      <w:lvlJc w:val="left"/>
      <w:lvlText w:val="(%1)"/>
      <w:numFmt w:val="lowerLetter"/>
      <w:start w:val="2"/>
    </w:lvl>
  </w:abstractNum>
  <w:abstractNum w:abstractNumId="221">
    <w:nsid w:val="71482545"/>
    <w:multiLevelType w:val="hybridMultilevel"/>
    <w:lvl w:ilvl="0">
      <w:lvlJc w:val="left"/>
      <w:lvlText w:val="(%1)"/>
      <w:numFmt w:val="lowerLetter"/>
      <w:start w:val="9"/>
    </w:lvl>
    <w:lvl w:ilvl="1">
      <w:lvlJc w:val="left"/>
      <w:lvlText w:val="(%2)"/>
      <w:numFmt w:val="lowerLetter"/>
      <w:start w:val="2"/>
    </w:lvl>
  </w:abstractNum>
  <w:abstractNum w:abstractNumId="222">
    <w:nsid w:val="17D78639"/>
    <w:multiLevelType w:val="hybridMultilevel"/>
    <w:lvl w:ilvl="0">
      <w:lvlJc w:val="left"/>
      <w:lvlText w:val="(%1)"/>
      <w:numFmt w:val="lowerLetter"/>
      <w:start w:val="1"/>
    </w:lvl>
    <w:lvl w:ilvl="1">
      <w:lvlJc w:val="left"/>
      <w:lvlText w:val="(%2)"/>
      <w:numFmt w:val="upperLetter"/>
      <w:start w:val="1"/>
    </w:lvl>
  </w:abstractNum>
  <w:abstractNum w:abstractNumId="223">
    <w:nsid w:val="141D2302"/>
    <w:multiLevelType w:val="hybridMultilevel"/>
    <w:lvl w:ilvl="0">
      <w:lvlJc w:val="left"/>
      <w:lvlText w:val="(%1)"/>
      <w:numFmt w:val="lowerLetter"/>
      <w:start w:val="3"/>
    </w:lvl>
  </w:abstractNum>
  <w:abstractNum w:abstractNumId="224">
    <w:nsid w:val="407168D8"/>
    <w:multiLevelType w:val="hybridMultilevel"/>
    <w:lvl w:ilvl="0">
      <w:lvlJc w:val="left"/>
      <w:lvlText w:val="(%1)"/>
      <w:numFmt w:val="lowerLetter"/>
      <w:start w:val="1"/>
    </w:lvl>
  </w:abstractNum>
  <w:abstractNum w:abstractNumId="225">
    <w:nsid w:val="6A1B45E5"/>
    <w:multiLevelType w:val="hybridMultilevel"/>
    <w:lvl w:ilvl="0">
      <w:lvlJc w:val="left"/>
      <w:lvlText w:val="%1"/>
      <w:numFmt w:val="lowerRoman"/>
      <w:start w:val="1"/>
    </w:lvl>
    <w:lvl w:ilvl="1">
      <w:lvlJc w:val="left"/>
      <w:lvlText w:val="(%2)"/>
      <w:numFmt w:val="lowerLetter"/>
      <w:start w:val="1"/>
    </w:lvl>
  </w:abstractNum>
  <w:abstractNum w:abstractNumId="226">
    <w:nsid w:val="567BD50A"/>
    <w:multiLevelType w:val="hybridMultilevel"/>
    <w:lvl w:ilvl="0">
      <w:lvlJc w:val="left"/>
      <w:lvlText w:val="(%1)"/>
      <w:numFmt w:val="lowerRoman"/>
      <w:start w:val="6"/>
    </w:lvl>
    <w:lvl w:ilvl="1">
      <w:lvlJc w:val="left"/>
      <w:lvlText w:val="(%2)"/>
      <w:numFmt w:val="lowerLetter"/>
      <w:start w:val="2"/>
    </w:lvl>
  </w:abstractNum>
  <w:abstractNum w:abstractNumId="227">
    <w:nsid w:val="73BBD7F8"/>
    <w:multiLevelType w:val="hybridMultilevel"/>
    <w:lvl w:ilvl="0">
      <w:lvlJc w:val="left"/>
      <w:lvlText w:val="(%1)"/>
      <w:numFmt w:val="lowerRoman"/>
      <w:start w:val="2"/>
    </w:lvl>
    <w:lvl w:ilvl="1">
      <w:lvlJc w:val="left"/>
      <w:lvlText w:val="(%2)"/>
      <w:numFmt w:val="lowerLetter"/>
      <w:start w:val="3"/>
    </w:lvl>
  </w:abstractNum>
  <w:abstractNum w:abstractNumId="228">
    <w:nsid w:val="1876589D"/>
    <w:multiLevelType w:val="hybridMultilevel"/>
    <w:lvl w:ilvl="0">
      <w:lvlJc w:val="left"/>
      <w:lvlText w:val="(%1)"/>
      <w:numFmt w:val="lowerRoman"/>
      <w:start w:val="1"/>
    </w:lvl>
  </w:abstractNum>
  <w:abstractNum w:abstractNumId="229">
    <w:nsid w:val="327FAC77"/>
    <w:multiLevelType w:val="hybridMultilevel"/>
    <w:lvl w:ilvl="0">
      <w:lvlJc w:val="left"/>
      <w:lvlText w:val="(%1)"/>
      <w:numFmt w:val="lowerLetter"/>
      <w:start w:val="2"/>
    </w:lvl>
  </w:abstractNum>
  <w:abstractNum w:abstractNumId="230">
    <w:nsid w:val="5A606509"/>
    <w:multiLevelType w:val="hybridMultilevel"/>
    <w:lvl w:ilvl="0">
      <w:lvlJc w:val="left"/>
      <w:lvlText w:val="(%1)"/>
      <w:numFmt w:val="lowerLetter"/>
      <w:start w:val="2"/>
    </w:lvl>
  </w:abstractNum>
  <w:abstractNum w:abstractNumId="231">
    <w:nsid w:val="6F38E6D1"/>
    <w:multiLevelType w:val="hybridMultilevel"/>
    <w:lvl w:ilvl="0">
      <w:lvlJc w:val="left"/>
      <w:lvlText w:val="(%1)"/>
      <w:numFmt w:val="lowerLetter"/>
      <w:start w:val="4"/>
    </w:lvl>
  </w:abstractNum>
  <w:abstractNum w:abstractNumId="232">
    <w:nsid w:val="46111BA5"/>
    <w:multiLevelType w:val="hybridMultilevel"/>
    <w:lvl w:ilvl="0">
      <w:lvlJc w:val="left"/>
      <w:lvlText w:val="(%1)"/>
      <w:numFmt w:val="lowerLetter"/>
      <w:start w:val="1"/>
    </w:lvl>
  </w:abstractNum>
  <w:abstractNum w:abstractNumId="233">
    <w:nsid w:val="5E963896"/>
    <w:multiLevelType w:val="hybridMultilevel"/>
    <w:lvl w:ilvl="0">
      <w:lvlJc w:val="left"/>
      <w:lvlText w:val="(%1)"/>
      <w:numFmt w:val="lowerLetter"/>
      <w:start w:val="5"/>
    </w:lvl>
  </w:abstractNum>
  <w:abstractNum w:abstractNumId="234">
    <w:nsid w:val="775BA7C1"/>
    <w:multiLevelType w:val="hybridMultilevel"/>
    <w:lvl w:ilvl="0">
      <w:lvlJc w:val="left"/>
      <w:lvlText w:val="(%1)"/>
      <w:numFmt w:val="lowerRoman"/>
      <w:start w:val="1"/>
    </w:lvl>
  </w:abstractNum>
  <w:abstractNum w:abstractNumId="235">
    <w:nsid w:val="1DD6D6F4"/>
    <w:multiLevelType w:val="hybridMultilevel"/>
    <w:lvl w:ilvl="0">
      <w:lvlJc w:val="left"/>
      <w:lvlText w:val="(%1)"/>
      <w:numFmt w:val="lowerRoman"/>
      <w:start w:val="2"/>
    </w:lvl>
  </w:abstractNum>
  <w:abstractNum w:abstractNumId="236">
    <w:nsid w:val="769A091F"/>
    <w:multiLevelType w:val="hybridMultilevel"/>
    <w:lvl w:ilvl="0">
      <w:lvlJc w:val="left"/>
      <w:lvlText w:val="(%1)"/>
      <w:numFmt w:val="lowerRoman"/>
      <w:start w:val="3"/>
    </w:lvl>
  </w:abstractNum>
  <w:abstractNum w:abstractNumId="237">
    <w:nsid w:val="4695AE95"/>
    <w:multiLevelType w:val="hybridMultilevel"/>
    <w:lvl w:ilvl="0">
      <w:lvlJc w:val="left"/>
      <w:lvlText w:val="(%1)"/>
      <w:numFmt w:val="lowerRoman"/>
      <w:start w:val="4"/>
    </w:lvl>
  </w:abstractNum>
  <w:abstractNum w:abstractNumId="238">
    <w:nsid w:val="777A4EAA"/>
    <w:multiLevelType w:val="hybridMultilevel"/>
    <w:lvl w:ilvl="0">
      <w:lvlJc w:val="left"/>
      <w:lvlText w:val="(%1)"/>
      <w:numFmt w:val="lowerRoman"/>
      <w:start w:val="5"/>
    </w:lvl>
  </w:abstractNum>
  <w:abstractNum w:abstractNumId="239">
    <w:nsid w:val="3F48B982"/>
    <w:multiLevelType w:val="hybridMultilevel"/>
    <w:lvl w:ilvl="0">
      <w:lvlJc w:val="left"/>
      <w:lvlText w:val="(%1)"/>
      <w:numFmt w:val="lowerRoman"/>
      <w:start w:val="6"/>
    </w:lvl>
  </w:abstractNum>
  <w:abstractNum w:abstractNumId="240">
    <w:nsid w:val="46BA8FCA"/>
    <w:multiLevelType w:val="hybridMultilevel"/>
    <w:lvl w:ilvl="0">
      <w:lvlJc w:val="left"/>
      <w:lvlText w:val="%1"/>
      <w:numFmt w:val="lowerLetter"/>
      <w:start w:val="1"/>
    </w:lvl>
    <w:lvl w:ilvl="1">
      <w:lvlJc w:val="left"/>
      <w:lvlText w:val="(%2)"/>
      <w:numFmt w:val="lowerLetter"/>
      <w:start w:val="2"/>
    </w:lvl>
  </w:abstractNum>
  <w:abstractNum w:abstractNumId="241">
    <w:nsid w:val="7835626C"/>
    <w:multiLevelType w:val="hybridMultilevel"/>
    <w:lvl w:ilvl="0">
      <w:lvlJc w:val="left"/>
      <w:lvlText w:val="(%1)"/>
      <w:numFmt w:val="lowerLetter"/>
      <w:start w:val="9"/>
    </w:lvl>
    <w:lvl w:ilvl="1">
      <w:lvlJc w:val="left"/>
      <w:lvlText w:val="(%2)"/>
      <w:numFmt w:val="lowerLetter"/>
      <w:start w:val="3"/>
    </w:lvl>
  </w:abstractNum>
  <w:abstractNum w:abstractNumId="242">
    <w:nsid w:val="665ACA49"/>
    <w:multiLevelType w:val="hybridMultilevel"/>
    <w:lvl w:ilvl="0">
      <w:lvlJc w:val="left"/>
      <w:lvlText w:val="(%1)"/>
      <w:numFmt w:val="lowerLetter"/>
      <w:start w:val="4"/>
    </w:lvl>
  </w:abstractNum>
  <w:abstractNum w:abstractNumId="243">
    <w:nsid w:val="6835B2AE"/>
    <w:multiLevelType w:val="hybridMultilevel"/>
    <w:lvl w:ilvl="0">
      <w:lvlJc w:val="left"/>
      <w:lvlText w:val="(%1)"/>
      <w:numFmt w:val="lowerRoman"/>
      <w:start w:val="2"/>
    </w:lvl>
  </w:abstractNum>
  <w:abstractNum w:abstractNumId="244">
    <w:nsid w:val="4C187C90"/>
    <w:multiLevelType w:val="hybridMultilevel"/>
    <w:lvl w:ilvl="0">
      <w:lvlJc w:val="left"/>
      <w:lvlText w:val="(%1)"/>
      <w:numFmt w:val="lowerLetter"/>
      <w:start w:val="5"/>
    </w:lvl>
  </w:abstractNum>
  <w:abstractNum w:abstractNumId="245">
    <w:nsid w:val="541F28CD"/>
    <w:multiLevelType w:val="hybridMultilevel"/>
    <w:lvl w:ilvl="0">
      <w:lvlJc w:val="left"/>
      <w:lvlText w:val="(%1)"/>
      <w:numFmt w:val="lowerLetter"/>
      <w:start w:val="6"/>
    </w:lvl>
  </w:abstractNum>
  <w:abstractNum w:abstractNumId="246">
    <w:nsid w:val="7F65FD16"/>
    <w:multiLevelType w:val="hybridMultilevel"/>
    <w:lvl w:ilvl="0">
      <w:lvlJc w:val="left"/>
      <w:lvlText w:val="%1"/>
      <w:numFmt w:val="lowerLetter"/>
      <w:start w:val="1"/>
    </w:lvl>
    <w:lvl w:ilvl="1">
      <w:lvlJc w:val="left"/>
      <w:lvlText w:val="(%2)"/>
      <w:numFmt w:val="lowerLetter"/>
      <w:start w:val="7"/>
    </w:lvl>
  </w:abstractNum>
  <w:abstractNum w:abstractNumId="247">
    <w:nsid w:val="77C9FD68"/>
    <w:multiLevelType w:val="hybridMultilevel"/>
    <w:lvl w:ilvl="0">
      <w:lvlJc w:val="left"/>
      <w:lvlText w:val="(%1)"/>
      <w:numFmt w:val="lowerLetter"/>
      <w:start w:val="35"/>
    </w:lvl>
    <w:lvl w:ilvl="1">
      <w:lvlJc w:val="left"/>
      <w:lvlText w:val="(%2)"/>
      <w:numFmt w:val="lowerLetter"/>
      <w:start w:val="35"/>
    </w:lvl>
  </w:abstractNum>
  <w:abstractNum w:abstractNumId="248">
    <w:nsid w:val="298A92BA"/>
    <w:multiLevelType w:val="hybridMultilevel"/>
    <w:lvl w:ilvl="0">
      <w:lvlJc w:val="left"/>
      <w:lvlText w:val="(%1)"/>
      <w:numFmt w:val="lowerRoman"/>
      <w:start w:val="3"/>
    </w:lvl>
  </w:abstractNum>
  <w:abstractNum w:abstractNumId="249">
    <w:nsid w:val="6FE95EAC"/>
    <w:multiLevelType w:val="hybridMultilevel"/>
    <w:lvl w:ilvl="0">
      <w:lvlJc w:val="left"/>
      <w:lvlText w:val="(%1)"/>
      <w:numFmt w:val="lowerRoman"/>
      <w:start w:val="6"/>
    </w:lvl>
  </w:abstractNum>
  <w:abstractNum w:abstractNumId="250">
    <w:nsid w:val="4B697C7A"/>
    <w:multiLevelType w:val="hybridMultilevel"/>
    <w:lvl w:ilvl="0">
      <w:lvlJc w:val="left"/>
      <w:lvlText w:val="(%1)"/>
      <w:numFmt w:val="lowerLetter"/>
      <w:start w:val="9"/>
    </w:lvl>
    <w:lvl w:ilvl="1">
      <w:lvlJc w:val="left"/>
      <w:lvlText w:val="(%2)"/>
      <w:numFmt w:val="lowerLetter"/>
      <w:start w:val="2"/>
    </w:lvl>
  </w:abstractNum>
  <w:abstractNum w:abstractNumId="251">
    <w:nsid w:val="51A27AA6"/>
    <w:multiLevelType w:val="hybridMultilevel"/>
    <w:lvl w:ilvl="0">
      <w:lvlJc w:val="left"/>
      <w:lvlText w:val="%1"/>
      <w:numFmt w:val="lowerLetter"/>
      <w:start w:val="1"/>
    </w:lvl>
    <w:lvl w:ilvl="1">
      <w:lvlJc w:val="left"/>
      <w:lvlText w:val="(%2)"/>
      <w:numFmt w:val="lowerLetter"/>
      <w:start w:val="3"/>
    </w:lvl>
  </w:abstractNum>
  <w:abstractNum w:abstractNumId="252">
    <w:nsid w:val="613183F2"/>
    <w:multiLevelType w:val="hybridMultilevel"/>
    <w:lvl w:ilvl="0">
      <w:lvlJc w:val="left"/>
      <w:lvlText w:val="(%1)"/>
      <w:numFmt w:val="lowerLetter"/>
      <w:start w:val="1"/>
    </w:lvl>
    <w:lvl w:ilvl="1">
      <w:lvlJc w:val="left"/>
      <w:lvlText w:val="%2"/>
      <w:numFmt w:val="lowerLetter"/>
      <w:start w:val="1"/>
    </w:lvl>
  </w:abstractNum>
  <w:abstractNum w:abstractNumId="253">
    <w:nsid w:val="634102B4"/>
    <w:multiLevelType w:val="hybridMultilevel"/>
    <w:lvl w:ilvl="0">
      <w:lvlJc w:val="left"/>
      <w:lvlText w:val="(%1)"/>
      <w:numFmt w:val="lowerLetter"/>
      <w:start w:val="35"/>
    </w:lvl>
    <w:lvl w:ilvl="1">
      <w:lvlJc w:val="left"/>
      <w:lvlText w:val="%2"/>
      <w:numFmt w:val="lowerLetter"/>
      <w:start w:val="1"/>
    </w:lvl>
  </w:abstractNum>
  <w:abstractNum w:abstractNumId="254">
    <w:nsid w:val="65BF9DA8"/>
    <w:multiLevelType w:val="hybridMultilevel"/>
    <w:lvl w:ilvl="0">
      <w:lvlJc w:val="left"/>
      <w:lvlText w:val="(%1)"/>
      <w:numFmt w:val="lowerLetter"/>
      <w:start w:val="4"/>
    </w:lvl>
  </w:abstractNum>
  <w:abstractNum w:abstractNumId="255">
    <w:nsid w:val="21A2ECCA"/>
    <w:multiLevelType w:val="hybridMultilevel"/>
    <w:lvl w:ilvl="0">
      <w:lvlJc w:val="left"/>
      <w:lvlText w:val="(%1)"/>
      <w:numFmt w:val="lowerLetter"/>
      <w:start w:val="2"/>
    </w:lvl>
  </w:abstractNum>
  <w:abstractNum w:abstractNumId="256">
    <w:nsid w:val="4D5C4899"/>
    <w:multiLevelType w:val="hybridMultilevel"/>
    <w:lvl w:ilvl="0">
      <w:lvlJc w:val="left"/>
      <w:lvlText w:val="(%1)"/>
      <w:numFmt w:val="lowerRoman"/>
      <w:start w:val="1"/>
    </w:lvl>
    <w:lvl w:ilvl="1">
      <w:lvlJc w:val="left"/>
      <w:lvlText w:val="(%2)"/>
      <w:numFmt w:val="upperLetter"/>
      <w:start w:val="1"/>
    </w:lvl>
  </w:abstractNum>
  <w:abstractNum w:abstractNumId="257">
    <w:nsid w:val="3C3B72B2"/>
    <w:multiLevelType w:val="hybridMultilevel"/>
    <w:lvl w:ilvl="0">
      <w:lvlJc w:val="left"/>
      <w:lvlText w:val="(%1)"/>
      <w:numFmt w:val="lowerRoman"/>
      <w:start w:val="2"/>
    </w:lvl>
    <w:lvl w:ilvl="1">
      <w:lvlJc w:val="left"/>
      <w:lvlText w:val="(%2)"/>
      <w:numFmt w:val="upperLetter"/>
      <w:start w:val="1"/>
    </w:lvl>
  </w:abstractNum>
  <w:abstractNum w:abstractNumId="258">
    <w:nsid w:val="155EC4C2"/>
    <w:multiLevelType w:val="hybridMultilevel"/>
    <w:lvl w:ilvl="0">
      <w:lvlJc w:val="left"/>
      <w:lvlText w:val="(%1)"/>
      <w:numFmt w:val="lowerRoman"/>
      <w:start w:val="5"/>
    </w:lvl>
  </w:abstractNum>
  <w:abstractNum w:abstractNumId="259">
    <w:nsid w:val="65D2A137"/>
    <w:multiLevelType w:val="hybridMultilevel"/>
    <w:lvl w:ilvl="0">
      <w:lvlJc w:val="left"/>
      <w:lvlText w:val="(%1)"/>
      <w:numFmt w:val="lowerLetter"/>
      <w:start w:val="3"/>
    </w:lvl>
  </w:abstractNum>
  <w:abstractNum w:abstractNumId="260">
    <w:nsid w:val="6EBB1F2A"/>
    <w:multiLevelType w:val="hybridMultilevel"/>
    <w:lvl w:ilvl="0">
      <w:lvlJc w:val="left"/>
      <w:lvlText w:val="(%1)"/>
      <w:numFmt w:val="lowerLetter"/>
      <w:start w:val="4"/>
    </w:lvl>
  </w:abstractNum>
  <w:abstractNum w:abstractNumId="261">
    <w:nsid w:val="6FBF29CB"/>
    <w:multiLevelType w:val="hybridMultilevel"/>
    <w:lvl w:ilvl="0">
      <w:lvlJc w:val="left"/>
      <w:lvlText w:val="%1"/>
      <w:numFmt w:val="lowerLetter"/>
      <w:start w:val="1"/>
    </w:lvl>
    <w:lvl w:ilvl="1">
      <w:lvlJc w:val="left"/>
      <w:lvlText w:val="(%2)"/>
      <w:numFmt w:val="lowerLetter"/>
      <w:start w:val="6"/>
    </w:lvl>
  </w:abstractNum>
  <w:abstractNum w:abstractNumId="262">
    <w:nsid w:val="550B8808"/>
    <w:multiLevelType w:val="hybridMultilevel"/>
    <w:lvl w:ilvl="0">
      <w:lvlJc w:val="left"/>
      <w:lvlText w:val="(%1)"/>
      <w:numFmt w:val="lowerLetter"/>
      <w:start w:val="35"/>
    </w:lvl>
    <w:lvl w:ilvl="1">
      <w:lvlJc w:val="left"/>
      <w:lvlText w:val="%2"/>
      <w:numFmt w:val="lowerLetter"/>
      <w:start w:val="1"/>
    </w:lvl>
  </w:abstractNum>
  <w:abstractNum w:abstractNumId="263">
    <w:nsid w:val="34CC3ACF"/>
    <w:multiLevelType w:val="hybridMultilevel"/>
    <w:lvl w:ilvl="0">
      <w:lvlJc w:val="left"/>
      <w:lvlText w:val="(%1)"/>
      <w:numFmt w:val="lowerLetter"/>
      <w:start w:val="9"/>
    </w:lvl>
  </w:abstractNum>
  <w:abstractNum w:abstractNumId="264">
    <w:nsid w:val="4E556261"/>
    <w:multiLevelType w:val="hybridMultilevel"/>
    <w:lvl w:ilvl="0">
      <w:lvlJc w:val="left"/>
      <w:lvlText w:val="(%1)"/>
      <w:numFmt w:val="lowerLetter"/>
      <w:start w:val="1"/>
    </w:lvl>
    <w:lvl w:ilvl="1">
      <w:lvlJc w:val="left"/>
      <w:lvlText w:val="(%2)"/>
      <w:numFmt w:val="lowerLetter"/>
      <w:start w:val="2"/>
    </w:lvl>
  </w:abstractNum>
  <w:abstractNum w:abstractNumId="265">
    <w:nsid w:val="4C672FC9"/>
    <w:multiLevelType w:val="hybridMultilevel"/>
    <w:lvl w:ilvl="0">
      <w:lvlJc w:val="left"/>
      <w:lvlText w:val="(%1)"/>
      <w:numFmt w:val="lowerLetter"/>
      <w:start w:val="1"/>
    </w:lvl>
  </w:abstractNum>
  <w:abstractNum w:abstractNumId="266">
    <w:nsid w:val="52A311C3"/>
    <w:multiLevelType w:val="hybridMultilevel"/>
    <w:lvl w:ilvl="0">
      <w:lvlJc w:val="left"/>
      <w:lvlText w:val="(%1)"/>
      <w:numFmt w:val="lowerLetter"/>
      <w:start w:val="2"/>
    </w:lvl>
  </w:abstractNum>
  <w:abstractNum w:abstractNumId="267">
    <w:nsid w:val="44EF6B80"/>
    <w:multiLevelType w:val="hybridMultilevel"/>
    <w:lvl w:ilvl="0">
      <w:lvlJc w:val="left"/>
      <w:lvlText w:val="(%1)"/>
      <w:numFmt w:val="lowerLetter"/>
      <w:start w:val="1"/>
    </w:lvl>
  </w:abstractNum>
  <w:abstractNum w:abstractNumId="268">
    <w:nsid w:val="12FCDE5E"/>
    <w:multiLevelType w:val="hybridMultilevel"/>
    <w:lvl w:ilvl="0">
      <w:lvlJc w:val="left"/>
      <w:lvlText w:val="(%1)"/>
      <w:numFmt w:val="lowerLetter"/>
      <w:start w:val="2"/>
    </w:lvl>
  </w:abstractNum>
  <w:abstractNum w:abstractNumId="269">
    <w:nsid w:val="4A1D606E"/>
    <w:multiLevelType w:val="hybridMultilevel"/>
    <w:lvl w:ilvl="0">
      <w:lvlJc w:val="left"/>
      <w:lvlText w:val="(%1)"/>
      <w:numFmt w:val="lowerLetter"/>
      <w:start w:val="61"/>
    </w:lvl>
    <w:lvl w:ilvl="1">
      <w:lvlJc w:val="left"/>
      <w:lvlText w:val="(%2)"/>
      <w:numFmt w:val="lowerLetter"/>
      <w:start w:val="6"/>
    </w:lvl>
  </w:abstractNum>
  <w:abstractNum w:abstractNumId="270">
    <w:nsid w:val="4382503"/>
    <w:multiLevelType w:val="hybridMultilevel"/>
    <w:lvl w:ilvl="0">
      <w:lvlJc w:val="left"/>
      <w:lvlText w:val="(%1)"/>
      <w:numFmt w:val="lowerLetter"/>
      <w:start w:val="1"/>
    </w:lvl>
  </w:abstractNum>
  <w:abstractNum w:abstractNumId="271">
    <w:nsid w:val="59B76E28"/>
    <w:multiLevelType w:val="hybridMultilevel"/>
    <w:lvl w:ilvl="0">
      <w:lvlJc w:val="left"/>
      <w:lvlText w:val="(%1)"/>
      <w:numFmt w:val="upperLetter"/>
      <w:start w:val="2"/>
    </w:lvl>
    <w:lvl w:ilvl="1">
      <w:lvlJc w:val="left"/>
      <w:lvlText w:val="(%2)"/>
      <w:numFmt w:val="lowerLetter"/>
      <w:start w:val="2"/>
    </w:lvl>
  </w:abstractNum>
  <w:abstractNum w:abstractNumId="272">
    <w:nsid w:val="4252C2DA"/>
    <w:multiLevelType w:val="hybridMultilevel"/>
    <w:lvl w:ilvl="0">
      <w:lvlJc w:val="left"/>
      <w:lvlText w:val="(%1)"/>
      <w:numFmt w:val="lowerLetter"/>
      <w:start w:val="1"/>
    </w:lvl>
    <w:lvl w:ilvl="1">
      <w:lvlJc w:val="left"/>
      <w:lvlText w:val="(%2)"/>
      <w:numFmt w:val="lowerRoman"/>
      <w:start w:val="1"/>
    </w:lvl>
  </w:abstractNum>
  <w:abstractNum w:abstractNumId="273">
    <w:nsid w:val="6A92EF4C"/>
    <w:multiLevelType w:val="hybridMultilevel"/>
    <w:lvl w:ilvl="0">
      <w:lvlJc w:val="left"/>
      <w:lvlText w:val="(%1)"/>
      <w:numFmt w:val="lowerLetter"/>
      <w:start w:val="1"/>
    </w:lvl>
  </w:abstractNum>
  <w:abstractNum w:abstractNumId="274">
    <w:nsid w:val="41ED20D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2025-10-30T15:21:24Z</dcterms:created>
  <dcterms:modified xsi:type="dcterms:W3CDTF">2025-10-30T15:21:24Z</dcterms:modified>
</cp:coreProperties>
</file>