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6, 2025 (June 5, 2025)</w:t>
      </w:r>
    </w:p>
    <w:p>
      <w:pPr>
        <w:spacing w:after="0" w:line="14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AMC Networks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584" w:type="dxa"/>
        <w:tblCellMar>
          <w:top w:w="0" w:type="dxa"/>
          <w:left w:w="0" w:type="dxa"/>
          <w:bottom w:w="0" w:type="dxa"/>
          <w:right w:w="0" w:type="dxa"/>
        </w:tblCellMar>
      </w:tblPr>
      <w:tr>
        <w:trPr>
          <w:trHeight w:val="214"/>
        </w:trPr>
        <w:tc>
          <w:tcPr>
            <w:tcW w:w="5880" w:type="dxa"/>
            <w:vAlign w:val="bottom"/>
          </w:tcPr>
          <w:p>
            <w:pPr>
              <w:jc w:val="center"/>
              <w:ind w:right="341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9"/>
        </w:trPr>
        <w:tc>
          <w:tcPr>
            <w:tcW w:w="5880" w:type="dxa"/>
            <w:vAlign w:val="bottom"/>
          </w:tcPr>
          <w:p>
            <w:pPr>
              <w:jc w:val="center"/>
              <w:ind w:right="33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880" w:type="dxa"/>
            <w:vAlign w:val="bottom"/>
          </w:tcPr>
          <w:p>
            <w:pPr>
              <w:jc w:val="center"/>
              <w:ind w:right="33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5880" w:type="dxa"/>
            <w:vAlign w:val="bottom"/>
          </w:tcPr>
          <w:p>
            <w:pPr>
              <w:jc w:val="center"/>
              <w:ind w:right="3399"/>
              <w:spacing w:after="0"/>
              <w:rPr>
                <w:sz w:val="20"/>
                <w:szCs w:val="20"/>
                <w:color w:val="auto"/>
              </w:rPr>
            </w:pPr>
            <w:r>
              <w:rPr>
                <w:rFonts w:ascii="Times New Roman" w:cs="Times New Roman" w:eastAsia="Times New Roman" w:hAnsi="Times New Roman"/>
                <w:sz w:val="18"/>
                <w:szCs w:val="18"/>
                <w:b w:val="1"/>
                <w:bCs w:val="1"/>
                <w:color w:val="auto"/>
                <w:w w:val="99"/>
              </w:rPr>
              <w:t>11 Penn Plaza,</w:t>
            </w:r>
          </w:p>
        </w:tc>
        <w:tc>
          <w:tcPr>
            <w:tcW w:w="1440" w:type="dxa"/>
            <w:vAlign w:val="bottom"/>
          </w:tcPr>
          <w:p>
            <w:pPr>
              <w:spacing w:after="0"/>
              <w:rPr>
                <w:sz w:val="24"/>
                <w:szCs w:val="24"/>
                <w:color w:val="auto"/>
              </w:rPr>
            </w:pPr>
          </w:p>
        </w:tc>
      </w:tr>
      <w:tr>
        <w:trPr>
          <w:trHeight w:val="214"/>
        </w:trPr>
        <w:tc>
          <w:tcPr>
            <w:tcW w:w="5880" w:type="dxa"/>
            <w:vAlign w:val="bottom"/>
          </w:tcPr>
          <w:p>
            <w:pPr>
              <w:jc w:val="center"/>
              <w:ind w:right="3399"/>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5880" w:type="dxa"/>
            <w:vAlign w:val="bottom"/>
          </w:tcPr>
          <w:p>
            <w:pPr>
              <w:jc w:val="center"/>
              <w:ind w:right="3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5880" w:type="dxa"/>
            <w:vAlign w:val="bottom"/>
          </w:tcPr>
          <w:p>
            <w:pPr>
              <w:jc w:val="right"/>
              <w:ind w:right="1319"/>
              <w:spacing w:after="0"/>
              <w:rPr>
                <w:sz w:val="20"/>
                <w:szCs w:val="20"/>
                <w:color w:val="auto"/>
              </w:rPr>
            </w:pPr>
            <w:r>
              <w:rPr>
                <w:rFonts w:ascii="Times New Roman" w:cs="Times New Roman" w:eastAsia="Times New Roman" w:hAnsi="Times New Roman"/>
                <w:sz w:val="18"/>
                <w:szCs w:val="18"/>
                <w:b w:val="1"/>
                <w:bCs w:val="1"/>
                <w:color w:val="auto"/>
              </w:rPr>
              <w:t>(212) 324-8500</w:t>
            </w:r>
          </w:p>
        </w:tc>
        <w:tc>
          <w:tcPr>
            <w:tcW w:w="1440" w:type="dxa"/>
            <w:vAlign w:val="bottom"/>
          </w:tcPr>
          <w:p>
            <w:pPr>
              <w:spacing w:after="0"/>
              <w:rPr>
                <w:sz w:val="24"/>
                <w:szCs w:val="24"/>
                <w:color w:val="auto"/>
              </w:rPr>
            </w:pPr>
          </w:p>
        </w:tc>
      </w:tr>
      <w:tr>
        <w:trPr>
          <w:trHeight w:val="190"/>
        </w:trPr>
        <w:tc>
          <w:tcPr>
            <w:tcW w:w="5880" w:type="dxa"/>
            <w:vAlign w:val="bottom"/>
          </w:tcPr>
          <w:p>
            <w:pPr>
              <w:jc w:val="center"/>
              <w:ind w:left="18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Shareholders.</w:t>
      </w:r>
    </w:p>
    <w:p>
      <w:pPr>
        <w:spacing w:after="0" w:line="12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On June 5, 2025, at the annual meeting of stockholders (the “Annual Meeting”) of AMC Networks Inc. (the “Company”), the stockholders of the Company approved a proposal to redomesticate the Company (the “Redomestication”) from a corporation organized under the laws of the State of Delaware (the “Delaware Corporation”) to a corporation organized under the laws of the State of Nevada (the “Nevada Corporation”) by means of a plan of conversion (the “Plan of Conversion”) and adopted the resolutions of the board of directors of the Company approving the Redomestication, as described in the Company’s definitive proxy statement on Schedule 14A for the Annual Meeting filed with the Securities and Exchange Commission (the “SEC”) on April 25, 2025 (the “Proxy Statement”).</w:t>
      </w:r>
    </w:p>
    <w:p>
      <w:pPr>
        <w:spacing w:after="0" w:line="18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On June 5, 2025, the Company effected the Redomestication pursuant to the Plan of Conversion by filing (i) a certificate of conversion with the Secretary of State of the State of Delaware, (ii) articles of conversion with the Nevada Secretary of State and (iii) articles of incorporation with the Nevada Secretary of State (the “Nevada Charter”). The Company also adopted new bylaws (the “Nevada Bylaws”) in connection with the Redomestication.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11:59 p.m. Eastern Time on June 5, 2025 (the “Effective Time”):</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domicile changed from the State of Delaware to the State of Nevada;</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affairs of the Company ceased to be governed by the laws of the State of Delaware and instead became governed by the laws of the State of Nevada; and</w:t>
      </w:r>
    </w:p>
    <w:p>
      <w:pPr>
        <w:spacing w:after="0" w:line="67"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ceased to be governed by the Company’s existing amended and restated certificate of incorporation and amended and restated by-laws and instead became governed by the Nevada Charter and the Nevada Bylaws.</w:t>
      </w:r>
    </w:p>
    <w:p>
      <w:pPr>
        <w:spacing w:after="0" w:line="162" w:lineRule="exact"/>
        <w:rPr>
          <w:sz w:val="20"/>
          <w:szCs w:val="20"/>
          <w:color w:val="auto"/>
        </w:rPr>
      </w:pPr>
    </w:p>
    <w:p>
      <w:pPr>
        <w:jc w:val="both"/>
        <w:ind w:right="460" w:firstLine="440"/>
        <w:spacing w:after="0" w:line="261" w:lineRule="auto"/>
        <w:rPr>
          <w:sz w:val="20"/>
          <w:szCs w:val="20"/>
          <w:color w:val="auto"/>
        </w:rPr>
      </w:pPr>
      <w:r>
        <w:rPr>
          <w:rFonts w:ascii="Times New Roman" w:cs="Times New Roman" w:eastAsia="Times New Roman" w:hAnsi="Times New Roman"/>
          <w:sz w:val="18"/>
          <w:szCs w:val="18"/>
          <w:color w:val="auto"/>
        </w:rPr>
        <w:t>The Redomestication did not result in any change in the business, jobs, management, properties, location of any of the Company’s offices or facilities, number of employees, obligations, assets, liabilities or net worth (other than as a result of the costs related to the Redomestication). The Redomestication did not adversely affect any of the Company’s material contracts with any third parties, and the Company’s rights and obligations under those material contractual arrangements continue to be the rights and obligations of the Company after the Redomestication.</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each outstanding share of Class A common stock, par value $0.01 per share, of the Delaware Corporation (the “Delaware Corporation Class A Common Stock”) automatically converted into one outstanding share of Class A common stock, par value $0.01 per share, of the Nevada Corporation (the “Nevada Corporation Class A Common Stock”), and each outstanding share of Class B common stock, par value $0.01 per share, of the Delaware Corporation (the “Delaware Corporation Class B Common Stock”) automatically converted into one outstanding share of Class B common stock, par value $0.01 per share, of the Nevada Corporation (the “Nevada Corporation Class B Common Stock”).</w:t>
      </w:r>
    </w:p>
    <w:p>
      <w:pPr>
        <w:spacing w:after="0" w:line="183" w:lineRule="exact"/>
        <w:rPr>
          <w:sz w:val="20"/>
          <w:szCs w:val="20"/>
          <w:color w:val="auto"/>
        </w:rPr>
      </w:pPr>
    </w:p>
    <w:p>
      <w:pPr>
        <w:ind w:right="300" w:firstLine="440"/>
        <w:spacing w:after="0" w:line="254" w:lineRule="auto"/>
        <w:rPr>
          <w:sz w:val="20"/>
          <w:szCs w:val="20"/>
          <w:color w:val="auto"/>
        </w:rPr>
      </w:pPr>
      <w:r>
        <w:rPr>
          <w:rFonts w:ascii="Times New Roman" w:cs="Times New Roman" w:eastAsia="Times New Roman" w:hAnsi="Times New Roman"/>
          <w:sz w:val="18"/>
          <w:szCs w:val="18"/>
          <w:color w:val="auto"/>
        </w:rPr>
        <w:t>Stockholders are not required to exchange their existing stock certificates for new stock certificates. At the Effective Time, each outstanding warrant, option, restricted stock unit, performance stock unit, equity or equity-based award or other right to acquire any, or any instrument to convert into (including the Company’s 4.25% Convertible Senior Notes due 2029) or exchange for, or based on the value of, Delaware Corporation Class A Common Stock or Delaware Corporation Class B Common Stock, as applicable, automatically became a warrant, option, restricted stock unit, performance stock unit, equity or equity-based award or other right to acquire any, or any instrument to convert into or exchange for, or based on the value of, the same amount of Nevada Corporation Class A Common Stock or Nevada Corporation Class B Common Stock, as applicable, under the same terms and conditions. The Nevada Corporation Class A Common Stock continues to be traded on The Nasdaq Stock Market LLC under the symbol “AMCX”.</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As described in the Proxy Statement, certain rights of the Company’s stockholders were changed as a result of the Redomestication. A more detailed description of the Plan of Conversion, the Nevada Charter, the Nevada Bylaws and the effects of the Redomestication is set forth in the Proxy Statement under “Proposal 5—Approval of the Company’s Redomestication to the State of Nevada by Conversion,” which description is incorporated herein by reference. Copies of the Plan of Conversion, the Nevada Charter and the Nevada Bylaws are filed as Exhibits 2.1, 3.1 and 3.2, respectively, to this Current Report on Form 8-K and are incorporated herein by reference.</w:t>
      </w:r>
    </w:p>
    <w:p>
      <w:pPr>
        <w:sectPr>
          <w:pgSz w:w="11900" w:h="16838" w:orient="portrait"/>
          <w:cols w:equalWidth="0" w:num="1">
            <w:col w:w="11020"/>
          </w:cols>
          <w:pgMar w:left="440" w:top="293"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extent required, the information set forth above under Item 3.03 is hereby incorporated by reference into this Item 5.03.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jc w:val="both"/>
        <w:ind w:right="60" w:firstLine="436"/>
        <w:spacing w:after="0" w:line="266" w:lineRule="auto"/>
        <w:tabs>
          <w:tab w:leader="none" w:pos="68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the Annual Meeting on June 5, 2025. In accordance with the Company’s amended and restated certificate of incorporation as then in effect, the Class A stockholders have one vote per share and the Class B stockholders have ten votes per share. The proposals are described in detail in the Proxy Statement.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voted on the matters set forth below. The final results for the votes regarding each proposal are set forth below.</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elected the five directors listed below to the Board of Directors, each for a one-year term. The votes regarding this proposal were as follows:</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C. Blank</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12,252,535</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8,002,339</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7,705,885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Joseph M. Cohen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12,173,162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8,081,712</w:t>
            </w:r>
          </w:p>
        </w:tc>
        <w:tc>
          <w:tcPr>
            <w:tcW w:w="22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7,705,885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G. Perelman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12,258,512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7,996,362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7,705,885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Leonard Tow</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5,576,176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14,678,698</w:t>
            </w:r>
          </w:p>
        </w:tc>
        <w:tc>
          <w:tcPr>
            <w:tcW w:w="22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7,705,885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E. Vogel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12,157,648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8,097,226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7,705,885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Company’s Class B stockholders elected the eight directors listed below to the Board of Directors, each for a one-year term. The votes regarding this proposal were as follows:</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9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5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Dolan</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114,844,080</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J. Cox</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114,844,080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Aidan J. Dolan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114,844,080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Patrick F. Dolan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114,844,080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 Dolan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114,844,080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Stephen C. Mills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114,844,080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 Sweeney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114,844,080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Vincent Tese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114,844,080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960" w:right="160" w:hanging="532"/>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and Class B stockholders, voting together as a single class, ratified the appointment of KPMG LLP as the Company’s independent registered public accounting firm for the 2025 fiscal year. The votes regarding this proposal were as follows: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2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142,469,758</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308,930</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26,151</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0</w:t>
            </w:r>
          </w:p>
        </w:tc>
      </w:tr>
    </w:tbl>
    <w:p>
      <w:pPr>
        <w:spacing w:after="0" w:line="225" w:lineRule="exact"/>
        <w:rPr>
          <w:sz w:val="20"/>
          <w:szCs w:val="20"/>
          <w:color w:val="auto"/>
        </w:rPr>
      </w:pPr>
    </w:p>
    <w:p>
      <w:pPr>
        <w:ind w:left="960" w:right="680" w:hanging="532"/>
        <w:spacing w:after="0" w:line="312"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Class A stockholders and Class B stockholders, voting together as a single class, approved, on an advisory basis (non-binding), the compensation of the Company’s Named Executive Officers. The votes regarding this proposal were as follows: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123,732,529</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11,195,582</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170,843</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7,705,885</w:t>
            </w:r>
          </w:p>
        </w:tc>
      </w:tr>
    </w:tbl>
    <w:p>
      <w:pPr>
        <w:sectPr>
          <w:pgSz w:w="11900" w:h="16838" w:orient="portrait"/>
          <w:cols w:equalWidth="0" w:num="1">
            <w:col w:w="11000"/>
          </w:cols>
          <w:pgMar w:left="440" w:top="293" w:right="459" w:bottom="1440" w:gutter="0" w:footer="0" w:header="0"/>
        </w:sectPr>
      </w:pPr>
    </w:p>
    <w:bookmarkStart w:id="3" w:name="page4"/>
    <w:bookmarkEnd w:id="3"/>
    <w:p>
      <w:pPr>
        <w:ind w:left="96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Company’s Class A stockholders and Class B stockholders, voting together as a single class, approved a proposal recommending the Company’s Amended and Restated 2026 Employee Stock Plan. The votes regarding this proposal were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124,316,207</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10,631,964</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150,783</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7,705,885</w:t>
            </w:r>
          </w:p>
        </w:tc>
      </w:tr>
    </w:tbl>
    <w:p>
      <w:pPr>
        <w:spacing w:after="0" w:line="225" w:lineRule="exact"/>
        <w:rPr>
          <w:sz w:val="20"/>
          <w:szCs w:val="20"/>
          <w:color w:val="auto"/>
        </w:rPr>
      </w:pPr>
    </w:p>
    <w:p>
      <w:pPr>
        <w:ind w:left="960" w:hanging="53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and Class B stockholders, voting together as a single class, approved a proposal recommending the Company’s redomestication to the State of Nevada by conversion. The votes regarding this proposal were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1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118,475,540</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16,190,541</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432,873</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7,705,885</w:t>
            </w:r>
          </w:p>
        </w:tc>
      </w:tr>
    </w:tbl>
    <w:p>
      <w:pPr>
        <w:spacing w:after="0" w:line="34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A legal opinion of Brownstein Hyatt Farber Schreck, LLP is filed as Exhibit 5.1 to this Current Report on Form 8-K and is incorporated by reference into the Company’s Registration Statements on Form S-8 (File Nos. 333-214083, 333-250143 and 333-282832), filed with the SEC on October 13, 2016, November 17, 2020 and October 25, 2024, respectively.</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0000EE"/>
        </w:rPr>
        <w:t>Plan of Conversion of AMC Networks Inc.</w:t>
      </w:r>
    </w:p>
    <w:p>
      <w:pPr>
        <w:spacing w:after="0" w:line="1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Articles of Incorporation of AMC Networks Inc.</w:t>
      </w:r>
    </w:p>
    <w:p>
      <w:pPr>
        <w:spacing w:after="0" w:line="1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0000EE"/>
        </w:rPr>
        <w:t>Bylaws of AMC Networks Inc.</w:t>
      </w:r>
    </w:p>
    <w:p>
      <w:pPr>
        <w:spacing w:after="0" w:line="1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Brownstein Hyatt Farber Schreck, LLP.</w:t>
      </w:r>
    </w:p>
    <w:p>
      <w:pPr>
        <w:spacing w:after="0" w:line="1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XRBL document).</w:t>
      </w:r>
    </w:p>
    <w:p>
      <w:pPr>
        <w:sectPr>
          <w:pgSz w:w="11900" w:h="16838" w:orient="portrait"/>
          <w:cols w:equalWidth="0" w:num="1">
            <w:col w:w="10840"/>
          </w:cols>
          <w:pgMar w:left="440" w:top="297" w:right="6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AMC NETWORKS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June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Anne G.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Anne G. Kelly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Corporate Secretary</w:t>
      </w:r>
    </w:p>
    <w:p>
      <w:pPr>
        <w:sectPr>
          <w:pgSz w:w="11900" w:h="16838" w:orient="portrait"/>
          <w:cols w:equalWidth="0" w:num="1">
            <w:col w:w="11000"/>
          </w:cols>
          <w:pgMar w:left="440" w:top="293"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22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This Plan of Conversion (this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sets forth certain terms of the conversion of AMC Networks Inc., a Delaware corporation (the “</w:t>
      </w:r>
      <w:r>
        <w:rPr>
          <w:rFonts w:ascii="Times New Roman" w:cs="Times New Roman" w:eastAsia="Times New Roman" w:hAnsi="Times New Roman"/>
          <w:sz w:val="18"/>
          <w:szCs w:val="18"/>
          <w:b w:val="1"/>
          <w:bCs w:val="1"/>
          <w:color w:val="auto"/>
        </w:rPr>
        <w:t>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to a Nevada corporation (the “</w:t>
      </w:r>
      <w:r>
        <w:rPr>
          <w:rFonts w:ascii="Times New Roman" w:cs="Times New Roman" w:eastAsia="Times New Roman" w:hAnsi="Times New Roman"/>
          <w:sz w:val="18"/>
          <w:szCs w:val="18"/>
          <w:b w:val="1"/>
          <w:bCs w:val="1"/>
          <w:color w:val="auto"/>
        </w:rPr>
        <w:t>Nevada Corporation</w:t>
      </w:r>
      <w:r>
        <w:rPr>
          <w:rFonts w:ascii="Times New Roman" w:cs="Times New Roman" w:eastAsia="Times New Roman" w:hAnsi="Times New Roman"/>
          <w:sz w:val="18"/>
          <w:szCs w:val="18"/>
          <w:color w:val="auto"/>
        </w:rPr>
        <w:t>”), pursuant to the terms of the General Corporation Law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Sections 92A.195 and 92A.205 of the Nevada Revised Statutes (as amended,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Delaware Corporation is a corporation organized under the DGCL.</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B. Upon the terms and subject to the conditions set forth in this Plan, and in accordance with Section 266 of the DGCL and NRS 92A.195, the Delaware Corporation will be converted to the Nevada Corporation.</w:t>
      </w:r>
    </w:p>
    <w:p>
      <w:pPr>
        <w:spacing w:after="0" w:line="158"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C. The Board of Directors of the Delaware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(i) determined that the Conversion (as defined below) is in the best interests of the Delaware Corporation and its stockholders, (ii) approved and adopted the Conversion (including this Plan and the Nevada Articles of Incorporation and the Nevada Bylaws (each as defined below)), and (iii) recommended that the stockholders of the Delaware Corporation approve the Conversion (including this Plan and the Nevada Articles of Incorporation and the Nevada Bylaws) and adopt the resolutions of the Board approving the Conversion (the “</w:t>
      </w:r>
      <w:r>
        <w:rPr>
          <w:rFonts w:ascii="Times New Roman" w:cs="Times New Roman" w:eastAsia="Times New Roman" w:hAnsi="Times New Roman"/>
          <w:sz w:val="18"/>
          <w:szCs w:val="18"/>
          <w:b w:val="1"/>
          <w:bCs w:val="1"/>
          <w:color w:val="auto"/>
        </w:rPr>
        <w:t>Board Conversion Resolutions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D. The stockholders of the Delaware Corporation have approved the Conversion (including this Plan and the Nevada Articles of Incorporation and the Nevada Bylaws) and adopted the Board Conversion Resolutions.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The mode of carrying out the Conversion into effect shall be as described in this Plan.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CONVERSION</w:t>
      </w:r>
    </w:p>
    <w:p>
      <w:pPr>
        <w:spacing w:after="0" w:line="225"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1.1 Conversion</w:t>
      </w:r>
      <w:r>
        <w:rPr>
          <w:rFonts w:ascii="Times New Roman" w:cs="Times New Roman" w:eastAsia="Times New Roman" w:hAnsi="Times New Roman"/>
          <w:sz w:val="18"/>
          <w:szCs w:val="18"/>
          <w:color w:val="auto"/>
        </w:rPr>
        <w:t>. At the Effective Time (as defined below), the Delaware Corporation will be converted to the Nevada Corporation,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accordance with, Section 266 of the DGCL and NRS 92A.195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whereupon the Delaware Corporation will continue its existence in the organizational form of the Nevada Corporation, which will be subject to the laws of the State of Nevada. The Board and the stockholders of the Delaware Corporation have approved and adopted, as applicable, the Conversion (including this Plan and the Nevada Articles of Incorporation and Nevada Bylaws) and the Board Conversion Resolutions. The name of the Nevada Corporation shall be AMC Networks Inc.</w:t>
      </w:r>
    </w:p>
    <w:p>
      <w:pPr>
        <w:spacing w:after="0" w:line="179"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1.2 Filings and Recordings</w:t>
      </w:r>
      <w:r>
        <w:rPr>
          <w:rFonts w:ascii="Times New Roman" w:cs="Times New Roman" w:eastAsia="Times New Roman" w:hAnsi="Times New Roman"/>
          <w:sz w:val="18"/>
          <w:szCs w:val="18"/>
          <w:color w:val="auto"/>
        </w:rPr>
        <w:t>. The Delaware Corporation shall cause (i) articles of conversion meeting the requirements of NRS 92A.205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Nevada Articles of Conversion</w:t>
      </w:r>
      <w:r>
        <w:rPr>
          <w:rFonts w:ascii="Times New Roman" w:cs="Times New Roman" w:eastAsia="Times New Roman" w:hAnsi="Times New Roman"/>
          <w:sz w:val="18"/>
          <w:szCs w:val="18"/>
          <w:color w:val="auto"/>
        </w:rPr>
        <w:t>”) to be properly executed and filed in accordance with such section and (ii) a certificate of conversion meeting the requirements of Section 266 of the DGCL (the “</w:t>
      </w:r>
      <w:r>
        <w:rPr>
          <w:rFonts w:ascii="Times New Roman" w:cs="Times New Roman" w:eastAsia="Times New Roman" w:hAnsi="Times New Roman"/>
          <w:sz w:val="18"/>
          <w:szCs w:val="18"/>
          <w:b w:val="1"/>
          <w:bCs w:val="1"/>
          <w:color w:val="auto"/>
        </w:rPr>
        <w:t>Delaware Certificate of Conversion</w:t>
      </w:r>
      <w:r>
        <w:rPr>
          <w:rFonts w:ascii="Times New Roman" w:cs="Times New Roman" w:eastAsia="Times New Roman" w:hAnsi="Times New Roman"/>
          <w:sz w:val="18"/>
          <w:szCs w:val="18"/>
          <w:color w:val="auto"/>
        </w:rPr>
        <w:t>”) to be properly executed and filed in accordance with such section, and the Delaware Corporation or the Nevada Corporation, as applicable, shall make all other filings or recordings required by the DGCL or the NRS in connection with the Conversion.</w:t>
      </w:r>
    </w:p>
    <w:p>
      <w:pPr>
        <w:sectPr>
          <w:pgSz w:w="11900" w:h="16838" w:orient="portrait"/>
          <w:cols w:equalWidth="0" w:num="1">
            <w:col w:w="11020"/>
          </w:cols>
          <w:pgMar w:left="440" w:top="121" w:right="439" w:bottom="1440" w:gutter="0" w:footer="0" w:header="0"/>
        </w:sectPr>
      </w:pPr>
    </w:p>
    <w:bookmarkStart w:id="6" w:name="page7"/>
    <w:bookmarkEnd w:id="6"/>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Effective Time</w:t>
      </w:r>
      <w:r>
        <w:rPr>
          <w:rFonts w:ascii="Times New Roman" w:cs="Times New Roman" w:eastAsia="Times New Roman" w:hAnsi="Times New Roman"/>
          <w:sz w:val="18"/>
          <w:szCs w:val="18"/>
          <w:color w:val="auto"/>
        </w:rPr>
        <w:t>. The Conversion shall become effective upon the later to be filed of, or at the time (if any) designated in, the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Conversion and the Nevada Articles of Conversion as the effective time of the Conversion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2.1 Nevada Governing Documents</w:t>
      </w:r>
      <w:r>
        <w:rPr>
          <w:rFonts w:ascii="Times New Roman" w:cs="Times New Roman" w:eastAsia="Times New Roman" w:hAnsi="Times New Roman"/>
          <w:sz w:val="18"/>
          <w:szCs w:val="18"/>
          <w:color w:val="auto"/>
        </w:rPr>
        <w:t>. At the Effective Time, the Articles of Incorporation of the Nevada Corporation, in the form attached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Nevada Articles of Incorporation</w:t>
      </w:r>
      <w:r>
        <w:rPr>
          <w:rFonts w:ascii="Times New Roman" w:cs="Times New Roman" w:eastAsia="Times New Roman" w:hAnsi="Times New Roman"/>
          <w:sz w:val="18"/>
          <w:szCs w:val="18"/>
          <w:color w:val="auto"/>
        </w:rPr>
        <w:t xml:space="preserve">”), and the Bylaws of the Nevada Corporation,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Nevada Bylaws</w:t>
      </w:r>
      <w:r>
        <w:rPr>
          <w:rFonts w:ascii="Times New Roman" w:cs="Times New Roman" w:eastAsia="Times New Roman" w:hAnsi="Times New Roman"/>
          <w:sz w:val="18"/>
          <w:szCs w:val="18"/>
          <w:color w:val="auto"/>
        </w:rPr>
        <w:t>” and, together with the Nevada Articles of Incorporation, the “</w:t>
      </w:r>
      <w:r>
        <w:rPr>
          <w:rFonts w:ascii="Times New Roman" w:cs="Times New Roman" w:eastAsia="Times New Roman" w:hAnsi="Times New Roman"/>
          <w:sz w:val="18"/>
          <w:szCs w:val="18"/>
          <w:b w:val="1"/>
          <w:bCs w:val="1"/>
          <w:color w:val="auto"/>
        </w:rPr>
        <w:t>Nevada Governing Documents</w:t>
      </w:r>
      <w:r>
        <w:rPr>
          <w:rFonts w:ascii="Times New Roman" w:cs="Times New Roman" w:eastAsia="Times New Roman" w:hAnsi="Times New Roman"/>
          <w:sz w:val="18"/>
          <w:szCs w:val="18"/>
          <w:color w:val="auto"/>
        </w:rPr>
        <w:t>”), shall govern the Nevada Corporation until amended and/or restated in accordance with the Nevada Governing Documents and applicable law.</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2.2 Directors and Officers</w:t>
      </w:r>
      <w:r>
        <w:rPr>
          <w:rFonts w:ascii="Times New Roman" w:cs="Times New Roman" w:eastAsia="Times New Roman" w:hAnsi="Times New Roman"/>
          <w:sz w:val="18"/>
          <w:szCs w:val="18"/>
          <w:color w:val="auto"/>
        </w:rPr>
        <w:t>. From and after the Effective Time, by virtue of the Conversion and without any further action on the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or the Nevada Corporation, or their respective stockholders, (i) the Board of Directors of the Nevada Corporation will consist of the same directors of the Delaware Corporation as of immediately prior to the Effective Time, having the same terms of office, until their successors have been duly elected or appointed and qualified or until their earlier death, resignation or removal; (ii) each committee of the Board of the Delaware Corporation as of immediately prior to the Effective Time shall be, from and after the Effective Time, constituted as a committee of the Board of Directors of the Nevada Corporation on the same terms and with the same powers and authority of the Board of the Delaware Corporation as of immediately prior to the Effective Time, and the members of each committee of the Board of the Delaware Corporation as of immediately prior to the Effective Time shall be, from and after the Effective Time, the members of each such committee of the Board of Directors of the Nevada Corporation, to serve until their successors have been duly elected or appointed and qualified or until their earlier death, resignation or removal; and (iii) the officers of the Nevada Corporation shall be the same officers of the Delaware Corporation as of immediately prior to the Effective Time (and any designation as an “executive officer” under Rule 3b-7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“officer” for purposes of Section 16 of the Exchange Act shall remain in effect), to serve until their successors have been duly elected or appointed and qualified or until their earlier death, resignation or removal.</w:t>
      </w:r>
    </w:p>
    <w:p>
      <w:pPr>
        <w:sectPr>
          <w:pgSz w:w="11900" w:h="16838" w:orient="portrait"/>
          <w:cols w:equalWidth="0" w:num="1">
            <w:col w:w="10980"/>
          </w:cols>
          <w:pgMar w:left="440" w:top="266" w:right="4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 OF THE CONVERSION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3.1 Effect of Conversion</w:t>
      </w:r>
      <w:r>
        <w:rPr>
          <w:rFonts w:ascii="Times New Roman" w:cs="Times New Roman" w:eastAsia="Times New Roman" w:hAnsi="Times New Roman"/>
          <w:sz w:val="18"/>
          <w:szCs w:val="18"/>
          <w:color w:val="auto"/>
        </w:rPr>
        <w:t>. At the Effective Time, the effect of the Conversion will be as provided by this Plan and by the applicable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DGCL and the NRS. Without limitation of the foregoing, for all purposes of the laws of the State of Delaware and the State of Nevada, all of the rights, privileges, and powers of the Delaware Corporation, and all property, real, personal, and mixed, and all debts due to the Delaware Corporation, as well as all other things and causes of action belonging to the Delaware Corporation, shall remain vested in the Nevada Corporation and shall be the property of the Nevada Corporation, and all debts, liabilities, and duties of the Delaware Corporation shall remain attached to the Nevada Corporation and may be enforced against the Nevada Corporation to the same extent as if said debts, liabilities, and duties had originally been incurred or contracted by the Nevada Corporation.</w:t>
      </w:r>
    </w:p>
    <w:p>
      <w:pPr>
        <w:spacing w:after="0" w:line="183" w:lineRule="exact"/>
        <w:rPr>
          <w:sz w:val="20"/>
          <w:szCs w:val="20"/>
          <w:color w:val="auto"/>
        </w:rPr>
      </w:pPr>
    </w:p>
    <w:p>
      <w:pPr>
        <w:ind w:right="16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3.2 Conversion of Shares</w:t>
      </w:r>
      <w:r>
        <w:rPr>
          <w:rFonts w:ascii="Times New Roman" w:cs="Times New Roman" w:eastAsia="Times New Roman" w:hAnsi="Times New Roman"/>
          <w:sz w:val="17"/>
          <w:szCs w:val="17"/>
          <w:color w:val="auto"/>
        </w:rPr>
        <w:t>. At the Effective Time, by virtue of the Conversion and without any further action by the Delaware Corporation,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the holders thereof or any other person, (i) each validly issued, fully paid and nonassessable share of Class A common stock, par value $0.01 per share (the “</w:t>
      </w:r>
      <w:r>
        <w:rPr>
          <w:rFonts w:ascii="Times New Roman" w:cs="Times New Roman" w:eastAsia="Times New Roman" w:hAnsi="Times New Roman"/>
          <w:sz w:val="17"/>
          <w:szCs w:val="17"/>
          <w:b w:val="1"/>
          <w:bCs w:val="1"/>
          <w:color w:val="auto"/>
        </w:rPr>
        <w:t>Delaware Class A Common Stock</w:t>
      </w:r>
      <w:r>
        <w:rPr>
          <w:rFonts w:ascii="Times New Roman" w:cs="Times New Roman" w:eastAsia="Times New Roman" w:hAnsi="Times New Roman"/>
          <w:sz w:val="17"/>
          <w:szCs w:val="17"/>
          <w:color w:val="auto"/>
        </w:rPr>
        <w:t>”), of the Delaware Corporation issued and outstanding or held in treasury immediately prior to the Effective Time will automatically be converted into one validly issued, fully paid and nonassessable share of Class A common stock, par value $0.01 per share (the “</w:t>
      </w:r>
      <w:r>
        <w:rPr>
          <w:rFonts w:ascii="Times New Roman" w:cs="Times New Roman" w:eastAsia="Times New Roman" w:hAnsi="Times New Roman"/>
          <w:sz w:val="17"/>
          <w:szCs w:val="17"/>
          <w:b w:val="1"/>
          <w:bCs w:val="1"/>
          <w:color w:val="auto"/>
        </w:rPr>
        <w:t>Nevada Class A Common Stock</w:t>
      </w:r>
      <w:r>
        <w:rPr>
          <w:rFonts w:ascii="Times New Roman" w:cs="Times New Roman" w:eastAsia="Times New Roman" w:hAnsi="Times New Roman"/>
          <w:sz w:val="17"/>
          <w:szCs w:val="17"/>
          <w:color w:val="auto"/>
        </w:rPr>
        <w:t>”), of the Nevada Corporation, and (ii) each validly issued, fully paid and nonassessable share of Class B common stock, par value $0.01 per share (the “</w:t>
      </w:r>
      <w:r>
        <w:rPr>
          <w:rFonts w:ascii="Times New Roman" w:cs="Times New Roman" w:eastAsia="Times New Roman" w:hAnsi="Times New Roman"/>
          <w:sz w:val="17"/>
          <w:szCs w:val="17"/>
          <w:b w:val="1"/>
          <w:bCs w:val="1"/>
          <w:color w:val="auto"/>
        </w:rPr>
        <w:t>Delaware Class B Common Stock</w:t>
      </w:r>
      <w:r>
        <w:rPr>
          <w:rFonts w:ascii="Times New Roman" w:cs="Times New Roman" w:eastAsia="Times New Roman" w:hAnsi="Times New Roman"/>
          <w:sz w:val="17"/>
          <w:szCs w:val="17"/>
          <w:color w:val="auto"/>
        </w:rPr>
        <w:t>”), of the Delaware Corporation issued and outstanding or held in treasury immediately prior to the Effective Time will automatically be converted into one validly issued, fully paid and nonassessable share of Class B common stock, par value $0.01 per share (the “</w:t>
      </w:r>
      <w:r>
        <w:rPr>
          <w:rFonts w:ascii="Times New Roman" w:cs="Times New Roman" w:eastAsia="Times New Roman" w:hAnsi="Times New Roman"/>
          <w:sz w:val="17"/>
          <w:szCs w:val="17"/>
          <w:b w:val="1"/>
          <w:bCs w:val="1"/>
          <w:color w:val="auto"/>
        </w:rPr>
        <w:t>Nevada Class B Common Stock</w:t>
      </w:r>
      <w:r>
        <w:rPr>
          <w:rFonts w:ascii="Times New Roman" w:cs="Times New Roman" w:eastAsia="Times New Roman" w:hAnsi="Times New Roman"/>
          <w:sz w:val="17"/>
          <w:szCs w:val="17"/>
          <w:color w:val="auto"/>
        </w:rPr>
        <w:t>”), of the Nevada Corporation. At and after the Effective Time: (x) all of the outstanding certificates that immediately prior thereto represented issued and outstanding shares of Delaware Class A Common Stock and Delaware Class B Common Stock shall be deemed for all purposes to evidence ownership of and to represent shares of Nevada Class A Common Stock and Nevada Class B Common Stock, respectively, into which the shares represented by such certificates have been converted as herein provided and shall be so registered on the books and records of the Nevada Corporation and the transfer agent; and (y) all of the issued and outstanding shares of Delaware Class A Common Stock and Delaware Class B Common Stock that are in uncertificated book-entry form shall automatically become the number and class of shares of the Nevada Corporation into which such shares of the Delaware Corporation have been converted as herein provided in accordance with the customary procedures of the transfer agent.</w:t>
      </w:r>
    </w:p>
    <w:p>
      <w:pPr>
        <w:spacing w:after="0" w:line="389" w:lineRule="exact"/>
        <w:rPr>
          <w:sz w:val="20"/>
          <w:szCs w:val="20"/>
          <w:color w:val="auto"/>
        </w:rPr>
      </w:pPr>
    </w:p>
    <w:p>
      <w:pPr>
        <w:ind w:right="2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3.3 Conversion of Other Securities</w:t>
      </w:r>
      <w:r>
        <w:rPr>
          <w:rFonts w:ascii="Times New Roman" w:cs="Times New Roman" w:eastAsia="Times New Roman" w:hAnsi="Times New Roman"/>
          <w:sz w:val="17"/>
          <w:szCs w:val="17"/>
          <w:color w:val="auto"/>
        </w:rPr>
        <w:t>. At the Effective Time, by virtue of the Conversion and without any further action by the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the Nevada Corporation, the holders thereof or any other person, any warrant, stock option, restricted stock unit, performance stock unit, equity or equity-based award or other right to acquire any, or of any instrument to convert into or exchange for, or based on the value of, Delaware Class A Common Stock or other equity securities of the Delaware Corporation (including convertible notes), shall constitute a warrant, option, restricted stock unit, equity or equity-based award or other right to acquire any, or of any instrument to convert into or exchange for, or based on the value of, the same amount of Nevada Class A Common Stock or other equity securities of the Nevada Corporation as the holder of such warrant, stock option, restricted stock unit, performance stock unit, equity or equity-based award or other right would have been entitled to receive had such holder exercised or converted such warrant, stock option, restricted stock unit, performance stock unit, equity or equity-based award or other right in full immediately prior to the Effective Time (not taking into account whether such warrant, stock option, restricted stock unit, performance stock unit, equity or equity-based award or other right was in fact exercisable or convertible at such time), at the same exercise/conversion price per share, and shall, to the extent permitted by law and otherwise reasonably practicable, have the same term, exercisability, vesting schedule, status and all other terms and conditions.</w:t>
      </w:r>
    </w:p>
    <w:p>
      <w:pPr>
        <w:sectPr>
          <w:pgSz w:w="11900" w:h="16838" w:orient="portrait"/>
          <w:cols w:equalWidth="0" w:num="1">
            <w:col w:w="11000"/>
          </w:cols>
          <w:pgMar w:left="440" w:top="266" w:right="459" w:bottom="1440" w:gutter="0" w:footer="0" w:header="0"/>
        </w:sectPr>
      </w:pPr>
    </w:p>
    <w:bookmarkStart w:id="8" w:name="page9"/>
    <w:bookmarkEnd w:id="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4.1 Abandonment or Amendment</w:t>
      </w:r>
      <w:r>
        <w:rPr>
          <w:rFonts w:ascii="Times New Roman" w:cs="Times New Roman" w:eastAsia="Times New Roman" w:hAnsi="Times New Roman"/>
          <w:sz w:val="18"/>
          <w:szCs w:val="18"/>
          <w:color w:val="auto"/>
        </w:rPr>
        <w:t>. At any time before the Effective Time, whether before or after approval of the Conversion by the requisite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Delaware Corporation, this Plan may be terminated and the Conversion may be abandoned, or the consummation of the Conversion may be deferred for a reasonable period of time if, in the opinion of the Board, such action would be in the best interests of the Delaware Corporation and its stockholders. In the event of termination of this Plan, this Plan shall become void and of no effect.</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4.2 Captions</w:t>
      </w:r>
      <w:r>
        <w:rPr>
          <w:rFonts w:ascii="Times New Roman" w:cs="Times New Roman" w:eastAsia="Times New Roman" w:hAnsi="Times New Roman"/>
          <w:sz w:val="18"/>
          <w:szCs w:val="18"/>
          <w:color w:val="auto"/>
        </w:rPr>
        <w:t>. The captions in this Plan are for convenience only and shall not be considered a part, or to affect the construction or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provision of this Plan.</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4.3 Tax Reporting</w:t>
      </w:r>
      <w:r>
        <w:rPr>
          <w:rFonts w:ascii="Times New Roman" w:cs="Times New Roman" w:eastAsia="Times New Roman" w:hAnsi="Times New Roman"/>
          <w:sz w:val="18"/>
          <w:szCs w:val="18"/>
          <w:color w:val="auto"/>
        </w:rPr>
        <w:t>. The Conversion is intended to be a “reorganization” for purposes of Section 368(a) of the Internal Revenue Code of 1986,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any similar provisions of state or local law), and this Plan is hereby adopted as a “plan of reorganization” within the meaning of Section 368 of the Code and Treasury Regulations Sections 1.368-2(g) and 1.368-3(a).</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4.4 Governing Law</w:t>
      </w:r>
      <w:r>
        <w:rPr>
          <w:rFonts w:ascii="Times New Roman" w:cs="Times New Roman" w:eastAsia="Times New Roman" w:hAnsi="Times New Roman"/>
          <w:sz w:val="18"/>
          <w:szCs w:val="18"/>
          <w:color w:val="auto"/>
        </w:rPr>
        <w:t>. This Plan shall be governed by, and construed and interpreted in accordance with, the laws of the State of Delaware.</w:t>
      </w:r>
    </w:p>
    <w:p>
      <w:pPr>
        <w:sectPr>
          <w:pgSz w:w="11900" w:h="16838" w:orient="portrait"/>
          <w:cols w:equalWidth="0" w:num="1">
            <w:col w:w="10900"/>
          </w:cols>
          <w:pgMar w:left="440" w:top="266" w:right="5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Nevada Articles of Incorporation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Nevada Bylaws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3.1</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AMC NETWORKS INC.</w:t>
      </w:r>
    </w:p>
    <w:p>
      <w:pPr>
        <w:spacing w:after="0" w:line="207" w:lineRule="exact"/>
        <w:rPr>
          <w:sz w:val="20"/>
          <w:szCs w:val="20"/>
          <w:color w:val="auto"/>
        </w:rPr>
      </w:pPr>
    </w:p>
    <w:p>
      <w:pPr>
        <w:jc w:val="both"/>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FIRST. The name of this corporation (hereinafter called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 AMC Networks Inc. The Corporation is the resulting entity in the conversion of AMC Networks Inc., a Delaware corporation, into a Nevada corporation and is a continuation of the existence thereof pursuant to Nevada Revised Statutes (as amended from time to time, the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Chapter 92A.</w:t>
      </w:r>
    </w:p>
    <w:p>
      <w:pPr>
        <w:spacing w:after="0" w:line="176"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SECOND. 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176" w:lineRule="exact"/>
        <w:rPr>
          <w:sz w:val="20"/>
          <w:szCs w:val="20"/>
          <w:color w:val="auto"/>
        </w:rPr>
      </w:pPr>
    </w:p>
    <w:p>
      <w:pPr>
        <w:ind w:left="4" w:right="560" w:firstLine="991"/>
        <w:spacing w:after="0" w:line="312" w:lineRule="auto"/>
        <w:rPr>
          <w:sz w:val="20"/>
          <w:szCs w:val="20"/>
          <w:color w:val="auto"/>
        </w:rPr>
      </w:pPr>
      <w:r>
        <w:rPr>
          <w:rFonts w:ascii="Times New Roman" w:cs="Times New Roman" w:eastAsia="Times New Roman" w:hAnsi="Times New Roman"/>
          <w:sz w:val="17"/>
          <w:szCs w:val="17"/>
          <w:color w:val="auto"/>
        </w:rPr>
        <w:t>THIRD. The nature of the business and of the purposes to be conducted and promoted by the Corporation are to conduct any lawful business, to promote any lawful purpose, and to engage in any lawful act or activity for which corporations may be organized under the NRS.</w:t>
      </w:r>
    </w:p>
    <w:p>
      <w:pPr>
        <w:spacing w:after="0" w:line="140"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FOURTH. The aggregate number of shares of capital stock which the Corporation shall have authority to issue shall be four hundred and ninety-five million (495,000,000) shares, which shall be divided into the following classes:</w:t>
      </w:r>
    </w:p>
    <w:p>
      <w:pPr>
        <w:spacing w:after="0" w:line="54" w:lineRule="exact"/>
        <w:rPr>
          <w:sz w:val="20"/>
          <w:szCs w:val="20"/>
          <w:color w:val="auto"/>
        </w:rPr>
      </w:pPr>
    </w:p>
    <w:p>
      <w:pPr>
        <w:ind w:left="444" w:right="360" w:firstLine="419"/>
        <w:spacing w:after="0" w:line="282" w:lineRule="auto"/>
        <w:tabs>
          <w:tab w:leader="none" w:pos="11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hundred and sixty million (360,000,000) shares shall be of a class designated Class A common stock, par value $0.01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4" w:right="240" w:firstLine="419"/>
        <w:spacing w:after="0" w:line="282" w:lineRule="auto"/>
        <w:tabs>
          <w:tab w:leader="none" w:pos="11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million (90,000,000) shares shall be of a class designated Class B common stock, par value $0.01 per share (“</w:t>
      </w:r>
      <w:r>
        <w:rPr>
          <w:rFonts w:ascii="Times New Roman" w:cs="Times New Roman" w:eastAsia="Times New Roman" w:hAnsi="Times New Roman"/>
          <w:sz w:val="18"/>
          <w:szCs w:val="18"/>
          <w:u w:val="single" w:color="auto"/>
          <w:color w:val="auto"/>
        </w:rPr>
        <w:t>Class 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forty-five million (45,000,000) shares shall be of a class designated preferred stock, par value $0.01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The following is a statement of (a) the designations, preferences and relative, participating, optional or other special rights, and the qualifications, limitations or restrictions thereof, of the Common Stock; and (b) the authority expressly vested in the Board of Directors hereunder with respect to the issuance of any series of Preferred Stock:</w:t>
      </w:r>
    </w:p>
    <w:p>
      <w:pPr>
        <w:spacing w:after="0" w:line="324"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28"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7"/>
          <w:szCs w:val="17"/>
          <w:i w:val="1"/>
          <w:iCs w:val="1"/>
          <w:color w:val="auto"/>
        </w:rPr>
        <w:t>Priority of Preferred Stock.</w:t>
      </w:r>
    </w:p>
    <w:p>
      <w:pPr>
        <w:spacing w:after="0" w:line="119"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Each of the Class A Common Stock and Class B Common Stock is subject to all the powers, rights, privileges, preferences and priorities of any series of Preferred Stock as are stated and expressed herein and as shall be stated and expressed in any Certificates of Designation filed with respect to any series of Preferred Stock pursuant to authority expressly granted to and vested in the Board of Directors by the provisions of Section B of this Article FOURTH.</w:t>
      </w:r>
    </w:p>
    <w:p>
      <w:pPr>
        <w:sectPr>
          <w:pgSz w:w="11900" w:h="16838" w:orient="portrait"/>
          <w:cols w:equalWidth="0" w:num="1">
            <w:col w:w="11024"/>
          </w:cols>
          <w:pgMar w:left="436" w:top="121" w:right="439" w:bottom="1440" w:gutter="0" w:footer="0" w:header="0"/>
        </w:sectPr>
      </w:pPr>
    </w:p>
    <w:bookmarkStart w:id="12" w:name="page13"/>
    <w:bookmarkEnd w:id="12"/>
    <w:p>
      <w:pPr>
        <w:ind w:left="960" w:hanging="532"/>
        <w:spacing w:after="0"/>
        <w:tabs>
          <w:tab w:leader="none" w:pos="9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 and Other Distributions.</w:t>
      </w:r>
    </w:p>
    <w:p>
      <w:pPr>
        <w:spacing w:after="0" w:line="22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Subject to (a) any other provisions of these articles of incorporation (as amended from time to time, these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xml:space="preserve">”), including, without limitation, Section A.V of this Article FOURTH, and (b) the provisions of any Certificates of Designation filed with respect to any series of Preferred Stock, holders of Class A Common Stock and Class B Common Stock shall be entitled to receive equally on a per share basis such dividends and other distributions in cash, stock or property of the Corporation as may be declared thereon by the Board of Directors from time to time out of assets or funds of the Corporation legally available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A.V of this Article, the Board of Directors shall declare no dividend or other distribution, and no dividend or other distribution shall be paid, with respect to any outstanding share of Class A Common Stock or Class B Common Stock, whether paid in cash or property, unless, simultaneously, the same dividend or other distribution is paid with respect to each share of Class A Common Stock and Class B Common Stock.</w:t>
      </w:r>
    </w:p>
    <w:p>
      <w:pPr>
        <w:spacing w:after="0" w:line="217" w:lineRule="exact"/>
        <w:rPr>
          <w:sz w:val="20"/>
          <w:szCs w:val="20"/>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Voting.</w:t>
      </w:r>
    </w:p>
    <w:p>
      <w:pPr>
        <w:spacing w:after="0" w:line="227" w:lineRule="exact"/>
        <w:rPr>
          <w:rFonts w:ascii="Times New Roman" w:cs="Times New Roman" w:eastAsia="Times New Roman" w:hAnsi="Times New Roman"/>
          <w:sz w:val="18"/>
          <w:szCs w:val="18"/>
          <w:i w:val="1"/>
          <w:iCs w:val="1"/>
          <w:color w:val="auto"/>
        </w:rPr>
      </w:pPr>
    </w:p>
    <w:p>
      <w:pPr>
        <w:ind w:right="180" w:firstLine="987"/>
        <w:spacing w:after="0" w:line="256" w:lineRule="auto"/>
        <w:tabs>
          <w:tab w:leader="none" w:pos="12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(i) by statute, (ii) pursuant to the provisions of these Articles of Incorporation, or (iii) pursuant to the provisions of any Certificates of Designation filed with respect to any series of Preferred Stock, the holders of Common Stock shall have the sole right and power to vote on all matters on which a vote of stockholders is to be taken. At every meeting of the stockholders, each holder of Class A Common Stock shall be entitled to cast one (1) vote in person or by proxy for each share of Class A Common Stock standing in his or her name on the transfer books of the Corporation and each holder of Class B Common Stock shall be entitled to cast ten (10) votes in person or by proxy for each share of Class B Common Stock standing in his or her name on the transfer books of the Corporation.</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Except in the election of directors of the Corporation (voting in respect of which shall be governed by the terms set forth in subsections (b) and (c) of this Section III) and as otherwise required (i) by statute, (ii) pursuant to the provisions of these Articles of Incorporation, or (iii) pursuant to the provisions of any Certificates of Designation filed with respect to any series of Preferred Stock, the holders of Common Stock shall vote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affirmative vote or consent of the holders of at least 66 2/3% of the outstanding shares of Class B Common Stock, voting separately as a class, shall be required for (1) the authorization or issuance of any additional shares of Class B Common Stock and (2) any amendment, alteration or repeal of any of the provisions of these Articles of Incorporation which adversely affects the powers, preferences or rights of Class B Common Stock. Except as provided in the previous sentence, the number of authorized shares of any class of Common Stock may be increased or decreased (but not below the number of shares thereof then outstanding) by the affirmative vote of the holders of a majority of the voting power of the outstanding stock of the Corporation entitled to vote.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8" w:right="439" w:bottom="1440" w:gutter="0" w:footer="0" w:header="0"/>
        </w:sectPr>
      </w:pPr>
    </w:p>
    <w:bookmarkStart w:id="13" w:name="page14"/>
    <w:bookmarkEnd w:id="13"/>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election of directors:</w:t>
      </w:r>
    </w:p>
    <w:p>
      <w:pPr>
        <w:spacing w:after="0" w:line="117" w:lineRule="exact"/>
        <w:rPr>
          <w:rFonts w:ascii="Times New Roman" w:cs="Times New Roman" w:eastAsia="Times New Roman" w:hAnsi="Times New Roman"/>
          <w:sz w:val="18"/>
          <w:szCs w:val="18"/>
          <w:color w:val="auto"/>
        </w:rPr>
      </w:pPr>
    </w:p>
    <w:p>
      <w:pPr>
        <w:ind w:left="440" w:right="360" w:firstLine="948"/>
        <w:spacing w:after="0" w:line="276" w:lineRule="auto"/>
        <w:tabs>
          <w:tab w:leader="none" w:pos="160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the record date for notice of any meeting of stockholders of the Corporation at which directors are to be elected by the holders of Common Stock (the “</w:t>
      </w:r>
      <w:r>
        <w:rPr>
          <w:rFonts w:ascii="Times New Roman" w:cs="Times New Roman" w:eastAsia="Times New Roman" w:hAnsi="Times New Roman"/>
          <w:sz w:val="17"/>
          <w:szCs w:val="17"/>
          <w:u w:val="single" w:color="auto"/>
          <w:color w:val="auto"/>
        </w:rPr>
        <w:t>Common Stock Directors</w:t>
      </w:r>
      <w:r>
        <w:rPr>
          <w:rFonts w:ascii="Times New Roman" w:cs="Times New Roman" w:eastAsia="Times New Roman" w:hAnsi="Times New Roman"/>
          <w:sz w:val="17"/>
          <w:szCs w:val="17"/>
          <w:color w:val="auto"/>
        </w:rPr>
        <w:t>”), the aggregate number of outstanding shares of Class A Common Stock is at least</w:t>
      </w:r>
    </w:p>
    <w:p>
      <w:pPr>
        <w:ind w:left="4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10% of the total aggregate number of outstanding shares of Common Stock, holders of Class A Common Stock shall vote together as a separate class and shall be entitled to elect 25% of the total number of Common Stock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such 25% is not a whole number, then the holders of Class A Common Stock, voting together as a separate class, shall be entitled to elect the nearest higher whole number of directors that is at least 25% of the total number of the Common Stock Directors. Subject to subsection (iii) of this Section III(b), holders of Class B Common Stock shall vote together as a separate class to elect the remaining Common Stock Directors;</w:t>
      </w:r>
    </w:p>
    <w:p>
      <w:pPr>
        <w:spacing w:after="0" w:line="78" w:lineRule="exact"/>
        <w:rPr>
          <w:rFonts w:ascii="Times New Roman" w:cs="Times New Roman" w:eastAsia="Times New Roman" w:hAnsi="Times New Roman"/>
          <w:sz w:val="17"/>
          <w:szCs w:val="17"/>
          <w:color w:val="auto"/>
        </w:rPr>
      </w:pPr>
    </w:p>
    <w:p>
      <w:pPr>
        <w:ind w:left="440" w:right="100" w:firstLine="948"/>
        <w:spacing w:after="0" w:line="256" w:lineRule="auto"/>
        <w:tabs>
          <w:tab w:leader="none" w:pos="1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record date for notice of any meeting of stockholders of the Corporation at which Common Stock Directors are to be elected, the aggregate number of outstanding shares of Class A Common Stock is less than 10% of the total aggregate number of outstanding shares of Common Stock, the holders of Common Stock shall vote together as a single class with respect to the election of the Common Stock Directors and the holders of Class A Common Stock, voting together as a separate class, shall not have the right to elect 25% of the Common Stock Directors, but shall have one (1) vote per share for all Common Stock Directors and the holders of Class B Common Stock shall be entitled to ten (10) votes per share for all Common Stock Directors; and</w:t>
      </w:r>
    </w:p>
    <w:p>
      <w:pPr>
        <w:spacing w:after="0" w:line="79" w:lineRule="exact"/>
        <w:rPr>
          <w:rFonts w:ascii="Times New Roman" w:cs="Times New Roman" w:eastAsia="Times New Roman" w:hAnsi="Times New Roman"/>
          <w:sz w:val="18"/>
          <w:szCs w:val="18"/>
          <w:color w:val="auto"/>
        </w:rPr>
      </w:pPr>
    </w:p>
    <w:p>
      <w:pPr>
        <w:ind w:left="440" w:right="60" w:firstLine="948"/>
        <w:spacing w:after="0" w:line="255" w:lineRule="auto"/>
        <w:tabs>
          <w:tab w:leader="none" w:pos="17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record date for notice of any meeting of stockholders of the Corporation at which Common Stock Directors are to be elected, the aggregate number of outstanding shares of Class B Common Stock is less than 12 1/2% of the total aggregate number of outstanding shares of Common Stock, then the holders of Class A Common Stock, voting together as a separate class, shall continue to elect a number of directors equal to 25% of the total number of Common Stock Directors (or the next highest whole number) in accordance with subsection (b)(i) of this Section III and, in addition, shall vote together with the holders of Class B Common Stock, as a single class, to elect the remaining Common Stock Directors, with the holders of Class A Common Stock entitled to one (1) vote per share for all Common Stock Directors and the holders of Class B Common Stock entitled to ten (10) votes per share for all Common Stock Directors.</w:t>
      </w:r>
    </w:p>
    <w:p>
      <w:pPr>
        <w:spacing w:after="0" w:line="188" w:lineRule="exact"/>
        <w:rPr>
          <w:rFonts w:ascii="Times New Roman" w:cs="Times New Roman" w:eastAsia="Times New Roman" w:hAnsi="Times New Roman"/>
          <w:sz w:val="18"/>
          <w:szCs w:val="18"/>
          <w:color w:val="auto"/>
        </w:rPr>
      </w:pPr>
    </w:p>
    <w:p>
      <w:pPr>
        <w:ind w:right="120" w:firstLine="987"/>
        <w:spacing w:after="0" w:line="256"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vacancy in the office of a Common Stock Director elected by the holders of Class A Common Stock voting as a separate class during the term for which such Common Stock Director was elected shall be filled by a vote of holders of Class A Common Stock voting as a separate class, and any vacancy in the office of a Common Stock Director elected by the holders of Class B Common Stock voting as a separate class during the term for which such Common Stock Director was elected shall be filled by a vote of holders of Class B Common Stock voting as a separate class or, in the absence of a stockholder vote, in the case of a vacancy in the office of a Common Stock Director elected by either class during the term for which such Common Stock Director was elected, such vacancy may be filled by the remaining directors of such class.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4" w:name="page15"/>
    <w:bookmarkEnd w:id="1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in the foregoing sentence, any vacancy on the Board of Directors may be filled by a vote of holders of Class A Common Stock or the Common Stock Directors elected thereby if the number of Common Stock Directors elected thereby is then less than 25% of the total number of Common Stock Directors, and otherwise may be filled by a vote of holders of Class B Common Stock or the Common Stock Directors elected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at the time of the filling of such vacancy, the holders of such class of stock were then entitled to elect directors to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Directors by class vote. Any director elected by the Board of Directors to fill a vacancy shall serve until the next annual meeting of stockholders (at which time such person’s term shall expire) and until such person’s successor has been duly elected and qualified. If the Board of Directors increases the number of directors in accordance with Article FIFTH of these Articles of Incorporation, any newly created directorship may be filled by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 long as the holders of Class A Common Stock have the rights provided in subsections (b) and (c) of this Section III in respect of the last preceding annual meeting of stockholders to elect 25% of the total number of Common Stock Directors, (i) the Board of Directors may be so enlarged by the directors only to the extent that at least 25% of the enlarged board consists of (1) Common Stock Directors elected by the holders of Class A Common Stock, (2) persons appointed to fill vacancies created by the death, resignation or removal of persons elected by the holders of Class A Common Stock or (3) persons appointed by Common Stock Directors elected by holders of Class A Common Stock or persons appointed to fill vacancies created by the death, resignation or removal of persons elected by holders of Class A Common Stock and (ii) each person filling a newly-created directorship is designated either (x) as a Common Stock Director to be elected by holders of Class A Common Stock and is appointed by Common Stock Directors elected by holders of Class A Common Stock or persons appointed to fill vacancies created by the death, resignation or removal of persons elected by holders of Class A Common Stock or (y) as a Common Stock Director to be elected by holders of Class B Common Stock and is appointed by Common Stock Directors elected by holders of Class B Common Stock or persons appointed to fill vacancies created by the death, resignation or removal of persons elected by the holders of Class B Common Stock.</w:t>
      </w:r>
    </w:p>
    <w:p>
      <w:pPr>
        <w:spacing w:after="0" w:line="192" w:lineRule="exact"/>
        <w:rPr>
          <w:sz w:val="20"/>
          <w:szCs w:val="20"/>
          <w:color w:val="auto"/>
        </w:rPr>
      </w:pPr>
    </w:p>
    <w:p>
      <w:pPr>
        <w:jc w:val="both"/>
        <w:ind w:right="120" w:firstLine="987"/>
        <w:spacing w:after="0" w:line="266"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III to the contrary, the holders of Class A Common Stock shall have exclusive voting power on all matters upon which, pursuant to these Articles of Incorporation or applicable laws, the holders of Common Stock are entitled to vote, at any time when no shares of Class B Common Stock are issued and outstanding.</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any provision of these Articles of Incorporation or the bylaws of the Corporation (as amended from time to time, the</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sets forth a specific percentage of the shares outstanding and entitled to vote which is required for approval or ratification of any action upon which the vote of the stockholders is required or may be obtained, such provision shall mean such specified percentage of the votes entitled to be cast by holders of shares then outstanding and entitled to vote on such action.</w:t>
      </w:r>
    </w:p>
    <w:p>
      <w:pPr>
        <w:spacing w:after="0" w:line="186" w:lineRule="exact"/>
        <w:rPr>
          <w:sz w:val="20"/>
          <w:szCs w:val="20"/>
          <w:color w:val="auto"/>
        </w:rPr>
      </w:pPr>
    </w:p>
    <w:p>
      <w:pPr>
        <w:ind w:right="80" w:firstLine="987"/>
        <w:spacing w:after="0" w:line="258" w:lineRule="auto"/>
        <w:tabs>
          <w:tab w:leader="none" w:pos="12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of stockholders of the Corporation required or permitted to be taken at any annual or special meeting of stockholders of the Corporation may be taken without a meeting of stockholders, without prior notice and without a vote, and the power of the stockholders of the Corporation to consent in writing to the taking of any action without a meeting is specifically denied. Notwithstanding this clause (f), the holders of any series of Preferred Stock of the Corporation shall be entitled to take action by written consent to such extent, if any, as may be provided in the terms of such series.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5" w:name="page16"/>
    <w:bookmarkEnd w:id="15"/>
    <w:p>
      <w:pPr>
        <w:ind w:left="420"/>
        <w:spacing w:after="0"/>
        <w:tabs>
          <w:tab w:leader="none" w:pos="940" w:val="left"/>
        </w:tabs>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w:t>
      </w:r>
      <w:r>
        <w:rPr>
          <w:sz w:val="20"/>
          <w:szCs w:val="20"/>
          <w:color w:val="auto"/>
        </w:rPr>
        <w:tab/>
      </w: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ind w:firstLine="987"/>
        <w:spacing w:after="0" w:line="251"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Article FOURTH, each share of Class B Common Stock shall be convertible at any time and from time to time, at the option of the holder thereof, at the office of any transfer agent for such Class B Common Stock and at such other place or places, if any, as the Board of Directors may designate, or, if the Board of Directors shall fail to so designate, at the principal office of the Corporation (attention of the Secretary of the Corporation), into one (1) fully paid and non-assessable share of Class A Common Stock. Upon conversion, the Corporation shall make no payment or adjustment on account of dividends or other distributions accrued or in arrears on Class B Common Stock surrendered for conversion or on account of any dividends or other distributions on the Class A Common Stock issuable on such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shall not affect the right of any holder of Class B Common Stock on the record date for any dividend or other distribution to receive payment of such dividend or other distribution. Before any holder of Class B Common Stock shall be entitled to convert the same into Class A Common Stock, he or she shall surrender the certificate or certificates (if any) for such Class B Common Stock at the office of said transfer agent (or other place as provided above), which certificate or certificates, if the Corporation shall so request, shall be duly endorsed to the Corporation or in blank or accompanied by proper instruments of transfer to the Corporation or in blank (such endorsements or instruments of transfer to be in form satisfactory to the Corporation), or, if the shares to be converted are uncertificated, shall deliver an appropriate instrument or instruction to the office of said transfer agent (or other place as provided above), and, in either case, shall give written notice to the Corporation at said office that he or she elects so to convert said Class B Common Stock in accordance with the terms of this Section IV, and shall state in writing therein the name or names in which he or she desires the shares of Class A Common Stock to be issued. Every such notice of election to convert shall constitute a binding contract between the holder of such Class B Common Stock and the Corporation, whereby the holder of such Class B Common Stock shall be deemed to subscribe for the amount of Class A Common Stock which he or she shall be entitled to receive upon such conversion, and, in satisfaction of such subscription, to deposit the Class B Common Stock to be converted and to release the Corporation from all liability thereunder, and thereby the Corporation shall be deemed to agree that the surrender of the certificate or certificates therefor, if any, and the extinguishment of liability thereon shall constitute full payment of such subscription for Class A Common Stock to be issued upon such conversion. The Corporation will as soon as practicable thereafter, (i) if the applicable shares of Class A Common Stock are certificated, issue a certificate or certificates for the number of full shares of Class A Common Stock to which he or she shall be entitled as aforesaid and, if less than all of the shares of Class B Common Stock represented by any one certificate are to be converted, issue a new certificate representing the shares of Class B Common Stock not converted, and deliver such certificates at the office of said transfer agent (or other place as provided above) to the person for whose account such Class B Common Stock was so surrendered, or to his or her nominee or nominees, or (ii) if the applicable shares of Class A Common Stock are uncertificated, issue the number of full shares of Class A Common Stock to</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16" w:name="page17"/>
    <w:bookmarkEnd w:id="16"/>
    <w:p>
      <w:pPr>
        <w:ind w:right="10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he or she shall be entitled as aforesaid and deliver a notice of issuance of the uncertificated shares or other evidence of shares held in book-entry form at the office of said transfer agent (or other place as provided above) to the person for whose account such Class B Common Stock was so surrendered, or to his or her nominee or nominees. Subject to the provisions of subsection (c) of this Section IV, such conversion shall be deemed to have been made as of the date of such surrender of the certificates, if any, or an appropriate instrument or instruction, if applicable, with respect to the Class B Common Stock to be converted; and the person or persons entitled to receive the Class A Common Stock issuable upon conversion of such Class B Common Stock shall be treated for all purposes as the record holder or holders of such Class A Common Stock on such date. Upon conversion of shares of Class B Common Stock, shares of Class B Common Stock so converted will be canceled and retired by the Corporation, such shares shall not be reissued and the number of shares of Class B Common Stock which the Corporation shall have authority to issue shall be decreased by the number of shares of Class B Common Stock so converted and the Board of Directors shall take such steps as are required to so retire such shares.</w:t>
      </w:r>
    </w:p>
    <w:p>
      <w:pPr>
        <w:spacing w:after="0" w:line="173" w:lineRule="exact"/>
        <w:rPr>
          <w:sz w:val="20"/>
          <w:szCs w:val="20"/>
          <w:color w:val="auto"/>
        </w:rPr>
      </w:pPr>
    </w:p>
    <w:p>
      <w:pPr>
        <w:jc w:val="both"/>
        <w:ind w:right="60" w:firstLine="987"/>
        <w:spacing w:after="0" w:line="258"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Class A Common Stock upon conversion of shares of Class B Common Stock shall be made without charge for any stamp or other similar tax in respect of such issuance. However, if any such shares are to be issued in a name other than that of the holder of the share or shares of Class B Common Stock converted, the person or persons requesting the issuance thereof shall pay to the Corporation the amount of any tax which may be payable in respect of any transfer involved in such issuance or shall establish to the satisfaction of the Corporation that such tax has been paid or that no such tax is due.</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convert Class B Common Stock, and no surrender of Class B Common Stock shall be effective for that purpose, while the stock transfer books of the Corporation are closed for any purpose; but the surrender of Class B Common Stock for conversion during any period while such books are closed shall be deemed effective for conversion immediately upon the reopening of such books, as if the conversion had been made on the date such Class B Common Stock was surrendered.</w:t>
      </w:r>
    </w:p>
    <w:p>
      <w:pPr>
        <w:spacing w:after="0" w:line="179" w:lineRule="exact"/>
        <w:rPr>
          <w:rFonts w:ascii="Times New Roman" w:cs="Times New Roman" w:eastAsia="Times New Roman" w:hAnsi="Times New Roman"/>
          <w:sz w:val="18"/>
          <w:szCs w:val="18"/>
          <w:color w:val="auto"/>
        </w:rPr>
      </w:pPr>
    </w:p>
    <w:p>
      <w:pPr>
        <w:ind w:right="60" w:firstLine="987"/>
        <w:spacing w:after="0" w:line="253"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will at all times reserve and keep available, solely for the purpose of issue upon conversion of the outstanding shares of Class B Common Stock, such number of shares of Class A Common Stock as shall be issuable upon the conversion of all such outstanding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contained herein shall be construed to preclude the Corporation from satisfying its obligations in respect of the conversion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Class B Common Stock by delivery of shares of Class A Common Stock which are held in the treasury of the Corporation. The Corporation covenants that if any shares of Class A Common Stock, required to be reserved for purposes of conversion hereunder, require registration with or approval of any governmental authority under any federal or state law before such shares of Class A Common Stock may be issued upon conversion, the Corporation will use its best efforts to cause such shares to be duly registered or approved, as the case may be. The Corporation will endeavor to list the shares of Class A Common Stock required to be delivered upon conversion prior to such delivery upon each national securities exchange, if any, upon which the outstanding Class A Common Stock is listed at the time of such delivery. The Corporation covenants that all shares of Class A Common Stock which shall be issued upon conversion of the shares of Class B Common Stock will, upon issue, be fully paid and non-assessable and not entitled to any preemptive rights.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7" w:name="page18"/>
    <w:bookmarkEnd w:id="17"/>
    <w:p>
      <w:pPr>
        <w:ind w:left="920" w:hanging="532"/>
        <w:spacing w:after="0"/>
        <w:tabs>
          <w:tab w:leader="none" w:pos="9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Distributions.</w:t>
      </w:r>
    </w:p>
    <w:p>
      <w:pPr>
        <w:spacing w:after="0" w:line="227" w:lineRule="exact"/>
        <w:rPr>
          <w:rFonts w:ascii="Times New Roman" w:cs="Times New Roman" w:eastAsia="Times New Roman" w:hAnsi="Times New Roman"/>
          <w:sz w:val="18"/>
          <w:szCs w:val="18"/>
          <w:i w:val="1"/>
          <w:iCs w:val="1"/>
          <w:color w:val="auto"/>
        </w:rPr>
      </w:pPr>
    </w:p>
    <w:p>
      <w:pPr>
        <w:ind w:left="-40" w:right="340" w:firstLine="987"/>
        <w:spacing w:after="0" w:line="266" w:lineRule="auto"/>
        <w:tabs>
          <w:tab w:leader="none" w:pos="11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declare and pay a dividend or distribution consisting of shares of Class A Common Stock, Class B Common Stock or any other securities of the Corporation or any other person (hereinafter sometimes called a “</w:t>
      </w:r>
      <w:r>
        <w:rPr>
          <w:rFonts w:ascii="Times New Roman" w:cs="Times New Roman" w:eastAsia="Times New Roman" w:hAnsi="Times New Roman"/>
          <w:sz w:val="18"/>
          <w:szCs w:val="18"/>
          <w:u w:val="single" w:color="auto"/>
          <w:color w:val="auto"/>
        </w:rPr>
        <w:t>share distribution</w:t>
      </w:r>
      <w:r>
        <w:rPr>
          <w:rFonts w:ascii="Times New Roman" w:cs="Times New Roman" w:eastAsia="Times New Roman" w:hAnsi="Times New Roman"/>
          <w:sz w:val="18"/>
          <w:szCs w:val="18"/>
          <w:color w:val="auto"/>
        </w:rPr>
        <w:t>”) to holders of one or more classes of Common Stock only in accordance with the provisions of this Section V.</w:t>
      </w:r>
    </w:p>
    <w:p>
      <w:pPr>
        <w:spacing w:after="0" w:line="175" w:lineRule="exact"/>
        <w:rPr>
          <w:rFonts w:ascii="Times New Roman" w:cs="Times New Roman" w:eastAsia="Times New Roman" w:hAnsi="Times New Roman"/>
          <w:sz w:val="18"/>
          <w:szCs w:val="18"/>
          <w:color w:val="auto"/>
        </w:rPr>
      </w:pPr>
    </w:p>
    <w:p>
      <w:pPr>
        <w:ind w:left="-40" w:right="640" w:firstLine="987"/>
        <w:spacing w:after="0" w:line="282" w:lineRule="auto"/>
        <w:tabs>
          <w:tab w:leader="none" w:pos="120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 share distribution is to be made with respect to Class A Common Stock or Class B Common Stock, such share distribution may be declared and paid only as follows:</w:t>
      </w:r>
    </w:p>
    <w:p>
      <w:pPr>
        <w:spacing w:after="0" w:line="53" w:lineRule="exact"/>
        <w:rPr>
          <w:rFonts w:ascii="Times New Roman" w:cs="Times New Roman" w:eastAsia="Times New Roman" w:hAnsi="Times New Roman"/>
          <w:sz w:val="18"/>
          <w:szCs w:val="18"/>
          <w:color w:val="auto"/>
        </w:rPr>
      </w:pPr>
    </w:p>
    <w:p>
      <w:pPr>
        <w:ind w:left="400" w:right="80" w:firstLine="948"/>
        <w:spacing w:after="0" w:line="266" w:lineRule="auto"/>
        <w:tabs>
          <w:tab w:leader="none" w:pos="156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distribution consisting of shares of Class A Common Stock (or Convertible Securities (as defined below) convertible into or exercisable or exchangeable for shares of Class A Common Stock) to holders of Class A Common Stock and Class B Common Stock, on an equal per share basis;</w:t>
      </w:r>
    </w:p>
    <w:p>
      <w:pPr>
        <w:spacing w:after="0" w:line="67" w:lineRule="exact"/>
        <w:rPr>
          <w:rFonts w:ascii="Times New Roman" w:cs="Times New Roman" w:eastAsia="Times New Roman" w:hAnsi="Times New Roman"/>
          <w:sz w:val="18"/>
          <w:szCs w:val="18"/>
          <w:color w:val="auto"/>
        </w:rPr>
      </w:pPr>
    </w:p>
    <w:p>
      <w:pPr>
        <w:ind w:left="400" w:firstLine="948"/>
        <w:spacing w:after="0" w:line="261" w:lineRule="auto"/>
        <w:tabs>
          <w:tab w:leader="none" w:pos="161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distribution consisting of shares of Class A Common Stock (or Convertible Securities convertible into or exercisable or exchangeable for shares of Class A Common Stock) to holders of Class A Common Stock and, on an equal per share basis, shares of Class B Common Stock (or like Convertible Securities convertible into or exercisable or exchangeable for shares of Class B Common Stock) to holders of Class B Common Stock; and</w:t>
      </w:r>
    </w:p>
    <w:p>
      <w:pPr>
        <w:spacing w:after="0" w:line="71" w:lineRule="exact"/>
        <w:rPr>
          <w:rFonts w:ascii="Times New Roman" w:cs="Times New Roman" w:eastAsia="Times New Roman" w:hAnsi="Times New Roman"/>
          <w:sz w:val="18"/>
          <w:szCs w:val="18"/>
          <w:color w:val="auto"/>
        </w:rPr>
      </w:pPr>
    </w:p>
    <w:p>
      <w:pPr>
        <w:ind w:left="400" w:firstLine="948"/>
        <w:spacing w:after="0" w:line="253" w:lineRule="auto"/>
        <w:tabs>
          <w:tab w:leader="none" w:pos="166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share distribution consisting of any class or series of securities of the Corporation or any other person other than as described in clauses (i) and (ii) of this subsection (b) of this Section V, either (1) on the basis of a distribution of identical securities, on an equal per share basis, to holders of Class A Common Stock and Class B Common Stock or (2) on the basis of a distribution of one class or series of securities to holders of Class A Common Stock and another class or series of securities to holders of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securities so distributed (and, if the distribution consists of Convertible Securities, the securities into which such Convertible Securities are convertible or for which they are exercisable or exchangeable) do not differ in any respect other than differences in their rights (other than voting rights) consistent in all material respects with the differences between the Class A Common Stock and the Class B Common Stock and difference in their relative voting rights, with holders of shares of Class B Common Stock receiving the class or series having the higher relative voting rights (without regard to whether such voting rights differ to a greater or lesser extent than the corresponding differences in the voting rights of the Class A Common Stock and the Class B Common Stock provided in Section A.III of this Article FOURTH);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securities so distributed constitute capital stock of a subsidiary of the Corporation, such voting rights shall not differ to a greater extent than the corresponding differences in voting rights of the Class A Common Stock and the Class B Common Stock provided in Section A.III of this Article FOURTH, and provided in each case that such distribution is otherwise made on an equal per share basis, as determined by the Board of Directors in its sole discretion.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18" w:name="page19"/>
    <w:bookmarkEnd w:id="18"/>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these Articles of Incorporation,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shall mean any securities of the Corporation (other than any class of Common Stock) or any subsidiary thereof that are convertible into, exchangeable for or evidence the right to purchase any shares of any class of Common Stock, whether upon conversion, exercise, exchange, pursuant to anti-dilution provisions of such securities or otherwise.</w:t>
      </w:r>
    </w:p>
    <w:p>
      <w:pPr>
        <w:spacing w:after="0" w:line="20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i w:val="1"/>
          <w:iCs w:val="1"/>
          <w:color w:val="auto"/>
        </w:rPr>
        <w:t>VI.</w:t>
      </w:r>
      <w:r>
        <w:rPr>
          <w:sz w:val="20"/>
          <w:szCs w:val="20"/>
          <w:color w:val="auto"/>
        </w:rPr>
        <w:tab/>
      </w: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Corporation, whether voluntary or involuntary, after payment or provision for payment of the debts and other liabilities of the Corporation and after payment in full of the amounts to be paid to holders of Preferred Stock as set forth in any Certificates of Designation filed with respect thereto, the remaining assets and funds of the Corporation shall be divided among, and paid ratably to the holders of Class A Common Stock and Class B Common Stock (including those persons who shall become holders of Class A Common Stock by reason of the conversion of their shares of Class B Common Stock) as a single class. For the purposes of this Section VI, a consolidation or merger of the Corporation with one or more other corporations or business entities shall not be deemed to be a liquidation, dissolution or winding up, voluntary or involuntary.</w:t>
      </w:r>
    </w:p>
    <w:p>
      <w:pPr>
        <w:spacing w:after="0" w:line="21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i w:val="1"/>
          <w:iCs w:val="1"/>
          <w:color w:val="auto"/>
        </w:rPr>
        <w:t>VII.</w:t>
      </w:r>
      <w:r>
        <w:rPr>
          <w:sz w:val="20"/>
          <w:szCs w:val="20"/>
          <w:color w:val="auto"/>
        </w:rPr>
        <w:tab/>
      </w:r>
      <w:r>
        <w:rPr>
          <w:rFonts w:ascii="Times New Roman" w:cs="Times New Roman" w:eastAsia="Times New Roman" w:hAnsi="Times New Roman"/>
          <w:sz w:val="18"/>
          <w:szCs w:val="18"/>
          <w:i w:val="1"/>
          <w:iCs w:val="1"/>
          <w:color w:val="auto"/>
        </w:rPr>
        <w:t>Reclassifications, Etc.</w:t>
      </w:r>
    </w:p>
    <w:p>
      <w:pPr>
        <w:spacing w:after="0" w:line="227"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Neither the Class A Common Stock nor the Class B Common Stock may be subdivided, consolidated, reclassified or otherwise changed unless contemporaneously therewith the other class of Common Stock is subdivided, consolidated, reclassified or otherwise changed in the same proportion and in the same manner.</w:t>
      </w:r>
    </w:p>
    <w:p>
      <w:pPr>
        <w:spacing w:after="0" w:line="20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i w:val="1"/>
          <w:iCs w:val="1"/>
          <w:color w:val="auto"/>
        </w:rPr>
        <w:t>VIII.</w:t>
        <w:tab/>
        <w:t>Mergers, Consolidations, Etc.</w:t>
      </w:r>
    </w:p>
    <w:p>
      <w:pPr>
        <w:spacing w:after="0" w:line="22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In any merger, consolidation or business combination of the Corporation with or into another corporation, whether or not the Corporation is the surviving corporation, the consideration per share to be received by holders of Class A Common Stock and Class B Common Stock in such merger, consolidation or business combination must be identical to that received by holders of the other class of Common Stock, except that in any such transaction in which shares of capital stock are distributed, such shares may differ as to voting rights to the extent and only to the extent that the voting rights of the Class A Common Stock and Class B Common Stock differ as provided herein.</w:t>
      </w:r>
    </w:p>
    <w:p>
      <w:pPr>
        <w:spacing w:after="0" w:line="208"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i w:val="1"/>
          <w:iCs w:val="1"/>
          <w:color w:val="auto"/>
        </w:rPr>
        <w:t>IX.</w:t>
      </w:r>
      <w:r>
        <w:rPr>
          <w:sz w:val="20"/>
          <w:szCs w:val="20"/>
          <w:color w:val="auto"/>
        </w:rPr>
        <w:tab/>
      </w:r>
      <w:r>
        <w:rPr>
          <w:rFonts w:ascii="Times New Roman" w:cs="Times New Roman" w:eastAsia="Times New Roman" w:hAnsi="Times New Roman"/>
          <w:sz w:val="18"/>
          <w:szCs w:val="18"/>
          <w:i w:val="1"/>
          <w:iCs w:val="1"/>
          <w:color w:val="auto"/>
        </w:rPr>
        <w:t>Rights and Warrants.</w:t>
      </w:r>
    </w:p>
    <w:p>
      <w:pPr>
        <w:spacing w:after="0" w:line="22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In case the Corporation shall issue rights or warrants to purchase shares of capital stock of the Corporation, the terms of the rights and warrants, and the number of rights or warrants per share, to be received by holders of Class A Common Stock and Class B Common Stock must be identical to that received by holders of the other class of Common Stock, except that the shares of capital stock into which such rights or warrants are exercisable may differ as to voting rights to the extent and only to the extent that the voting rights of the Class A Common Stock and Class B Common Stock differ as provided herein.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9" w:name="page20"/>
    <w:bookmarkEnd w:id="19"/>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Preferred Stock.</w:t>
      </w:r>
    </w:p>
    <w:p>
      <w:pPr>
        <w:spacing w:after="0" w:line="128"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I.Issuance.</w:t>
      </w:r>
    </w:p>
    <w:p>
      <w:pPr>
        <w:spacing w:after="0" w:line="119"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the shares of each series to have such powers, designations, preferences and relative, participating, optional or other special rights, and qualifications, limitations or restrictions thereof, as are stated and expressed herein or in a Certificate of Designation providing for the issuance of such series, adopted by the Board of Directors as hereinafter provided and filed with the Nevada Secretary of State.</w:t>
      </w:r>
    </w:p>
    <w:p>
      <w:pPr>
        <w:spacing w:after="0" w:line="205" w:lineRule="exact"/>
        <w:rPr>
          <w:sz w:val="20"/>
          <w:szCs w:val="20"/>
          <w:color w:val="auto"/>
        </w:rPr>
      </w:pPr>
    </w:p>
    <w:p>
      <w:pPr>
        <w:ind w:left="964" w:hanging="532"/>
        <w:spacing w:after="0"/>
        <w:tabs>
          <w:tab w:leader="none" w:pos="964"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Powers of the Board of Directors.</w:t>
      </w:r>
    </w:p>
    <w:p>
      <w:pPr>
        <w:spacing w:after="0" w:line="22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to authorize the issue of one or more series of Preferred Stock, and with respect to each series to set forth in a Certificate of Designation provisions with respect to the issuance of such series, the powers, designations, preferences and relative, participating, optional or other special rights, and qualifications, limitations or restrictions thereof of the shares of each series of Preferred Stock, including without limitation the following:</w:t>
      </w:r>
    </w:p>
    <w:p>
      <w:pPr>
        <w:spacing w:after="0" w:line="72" w:lineRule="exact"/>
        <w:rPr>
          <w:sz w:val="20"/>
          <w:szCs w:val="20"/>
          <w:color w:val="auto"/>
        </w:rPr>
      </w:pPr>
    </w:p>
    <w:p>
      <w:pPr>
        <w:ind w:left="1104" w:hanging="241"/>
        <w:spacing w:after="0"/>
        <w:tabs>
          <w:tab w:leader="none" w:pos="11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to constitute such series and the distinctive designation thereof;</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have voting rights, in addition to any voting rights provided by law, and, if so, the terms of such voting rights;</w:t>
      </w:r>
    </w:p>
    <w:p>
      <w:pPr>
        <w:spacing w:after="0" w:line="53" w:lineRule="exact"/>
        <w:rPr>
          <w:rFonts w:ascii="Times New Roman" w:cs="Times New Roman" w:eastAsia="Times New Roman" w:hAnsi="Times New Roman"/>
          <w:sz w:val="18"/>
          <w:szCs w:val="18"/>
          <w:color w:val="auto"/>
        </w:rPr>
      </w:pPr>
    </w:p>
    <w:p>
      <w:pPr>
        <w:ind w:left="444" w:right="120" w:firstLine="419"/>
        <w:spacing w:after="0" w:line="266" w:lineRule="auto"/>
        <w:tabs>
          <w:tab w:leader="none" w:pos="11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determining such rate), if any, on the shares of such series, the conditions and dates upon which such dividends shall be payable, the preference or relation which such dividends shall bear to the dividends payable on any other class or classes or on any other series of capital stock, and whether such dividends shall be cumulative or non-cumulative;</w:t>
      </w:r>
    </w:p>
    <w:p>
      <w:pPr>
        <w:spacing w:after="0" w:line="67" w:lineRule="exact"/>
        <w:rPr>
          <w:rFonts w:ascii="Times New Roman" w:cs="Times New Roman" w:eastAsia="Times New Roman" w:hAnsi="Times New Roman"/>
          <w:sz w:val="18"/>
          <w:szCs w:val="18"/>
          <w:color w:val="auto"/>
        </w:rPr>
      </w:pPr>
    </w:p>
    <w:p>
      <w:pPr>
        <w:ind w:left="444" w:right="20" w:firstLine="419"/>
        <w:spacing w:after="0" w:line="282" w:lineRule="auto"/>
        <w:tabs>
          <w:tab w:leader="none" w:pos="11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be subject to redemption by the Corporation, and, if made subject to redemption, the times, prices and other terms and conditions of such redemption;</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shares of such series upon the liquidation, dissolution or winding up of the Corporation;</w:t>
      </w:r>
    </w:p>
    <w:p>
      <w:pPr>
        <w:spacing w:after="0" w:line="117" w:lineRule="exact"/>
        <w:rPr>
          <w:rFonts w:ascii="Times New Roman" w:cs="Times New Roman" w:eastAsia="Times New Roman" w:hAnsi="Times New Roman"/>
          <w:sz w:val="18"/>
          <w:szCs w:val="18"/>
          <w:color w:val="auto"/>
        </w:rPr>
      </w:pPr>
    </w:p>
    <w:p>
      <w:pPr>
        <w:jc w:val="both"/>
        <w:ind w:left="444" w:right="60" w:firstLine="419"/>
        <w:spacing w:after="0" w:line="266" w:lineRule="auto"/>
        <w:tabs>
          <w:tab w:leader="none" w:pos="10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Corporation has an obligation to purchase or redeem shares of such series pursuant to the operation of a retirement or sinking fund or otherwise, and, if so, the prices at which, periods within which and terms or conditions upon which, the shares of such series shall be purchased or redeemed;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20" w:name="page21"/>
    <w:bookmarkEnd w:id="20"/>
    <w:p>
      <w:pPr>
        <w:jc w:val="both"/>
        <w:ind w:left="440" w:right="40" w:firstLine="419"/>
        <w:spacing w:after="0" w:line="266" w:lineRule="auto"/>
        <w:tabs>
          <w:tab w:leader="none" w:pos="11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or not the shares of such series shall be convertible into, or exchangeable for, shares of stock of any other class or classes, or of any other series of the same class, and if so convertible or exchangeable, the price or prices or the rate or rates of conversion or exchange and the method, if any, of adjusting the same;</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shares of such series are outstanding upon the payment of dividends or making of other distributions on, and upon the purchase, redemption or other acquisition by the Corporation of the Class A Common Stock, the Class B Common Stock or any other class or classes of stock of the Corporation ranking junior to the shares of such series either as to dividends or other distributions, or upon liquidation;</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0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Corporation or upon the issue of any additional stock (including additional shares of such series or of any other series or of any other class) ranking on a parity with or prior to the shares of such series as to dividends or distribution of assets on liquidation, dissolution or winding up;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preference and relative, participating, optional, or other special rights, and qualifications, limitations or restrictions thereof as shall not be inconsistent with this Article FOURTH.</w:t>
      </w:r>
    </w:p>
    <w:p>
      <w:pPr>
        <w:spacing w:after="0" w:line="18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Ranking.</w:t>
      </w:r>
    </w:p>
    <w:p>
      <w:pPr>
        <w:spacing w:after="0" w:line="22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All shares of any one series of Preferred Stock shall be identical with each other in all respects, except that shares of any one series issued at different times may differ as to the dates from which dividends or other distributions, if any, thereon shall be cumulative; and all series shall rank equally and be identical in all respects, except as permitted by the foregoing provisions of Section B.II of this Article FOURTH; and all shares of Preferred Stock shall rank senior to the Common Stock both as to dividends and other distributions, and upon liquidation.</w:t>
      </w:r>
    </w:p>
    <w:p>
      <w:pPr>
        <w:spacing w:after="0" w:line="20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i w:val="1"/>
          <w:iCs w:val="1"/>
          <w:color w:val="auto"/>
        </w:rPr>
        <w:t>IV.</w:t>
      </w:r>
      <w:r>
        <w:rPr>
          <w:sz w:val="20"/>
          <w:szCs w:val="20"/>
          <w:color w:val="auto"/>
        </w:rPr>
        <w:tab/>
      </w: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Except as shall be otherwise stated and expressed in the Certificate of Designation adopted by the Board of Directors with respect to any series of Preferred Stock, in the event of any liquidation, dissolution or winding up of the Corporation, before any payment or distribution of the assets of the Corporation (whether capital or surplus) shall be made to or set apart for the holders of any class or classes of stock of the Corporation ranking junior to the Preferred Stock upon liquidation, the holders of the shares of the Preferred Stock shall be entitled to receive payment at the rate fixed in the resolution or resolutions adopted by the Board of Directors providing for the issue of such series, plus (if dividends or other distributions on shares of such series of Preferred Stock shall be cumulative) an amount equal to all dividends or other distributions (whether or not earned or declared) accumulated to the date of final distribution to</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holders; but they shall be entitled to no further payment. Except as aforesaid, if, upon any liquidation, dissolution or winding up of the Corporation, the assets of the Corporation, or proceeds thereof, distributable among the holders of the shares of the Preferred Stock shall be insufficient to pay in full the preferential amount aforesaid, then such assets, or the proceeds thereof, shall be distributed among such holders ratably in accordance with the respective amounts which would be payable on such shares if all amounts payable thereon were paid in full. For the purposes of this Section IV, a consolidation or merger of the Corporation with one or more other corporations or business entities shall not be deemed to be a liquidation, dissolution or winding up, voluntary or involuntary.</w:t>
      </w:r>
    </w:p>
    <w:p>
      <w:pPr>
        <w:spacing w:after="0" w:line="212" w:lineRule="exact"/>
        <w:rPr>
          <w:sz w:val="20"/>
          <w:szCs w:val="20"/>
          <w:color w:val="auto"/>
        </w:rPr>
      </w:pPr>
    </w:p>
    <w:p>
      <w:pPr>
        <w:ind w:left="960" w:hanging="532"/>
        <w:spacing w:after="0"/>
        <w:tabs>
          <w:tab w:leader="none" w:pos="9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Except as shall be otherwise stated and expressed herein or in the Certificate of Designation adopted by the Board of Directors with respect to the issuance of any series of Preferred Stock, the holders of shares of Preferred Stock shall have, with respect to such shares, no right or power to vote on any question or in any proceeding or to be represented at, or to receive notice of, any meeting of stockholders. For the avoidance of doubt, except as shall be otherwise stated and expressed in the Certificate of Designation adopted by the Board of Directors with respect to the issuance of any series of Preferred Stock, any right of the Preferred Stock, or any holder thereof, to vote pursuant to NRS 78.2055(3), 78.207(3) or 78.390(2) is hereby specifically denied.</w:t>
      </w:r>
    </w:p>
    <w:p>
      <w:pPr>
        <w:spacing w:after="0" w:line="187"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FIFTH. The management of the business and the conduct of the affairs of the Corporation, including the election of the Chairman, if any, the Chief Executive Officer, the President, the Treasurer, the Secretary, and other principal officers of the Corporation, shall be vested in its Board of Directors. The number of directors of the Corporation shall be fixed by the Bylaws and may be altered from time to time as provided therein. A director shall be elected to hold office until the expiration of the term for which such person is elected (which shall expire at the next annual meeting of stockholders after such person’s election), and until such person’s successor shall be duly elected and qualified.</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SIXTH. Whenever a compromise or arrangement is proposed between the Corporation and its creditors or any class of them and/or between the Corporation and its stockholders or any class of them, any court of equitable jurisdiction within the State of Nevada may, on the application in a summary way of the Corporation or any creditor or stockholder thereof or on the application of any receiver or receivers appointed for this Corporation under the provisions of NRS 78.630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on the application of trustees in dissolution, order a meeting of the creditors or class of creditors, and/or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this Corporation.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2" w:name="page23"/>
    <w:bookmarkEnd w:id="22"/>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SEVENTH. In furtherance and not in limitation of the powers conferred by the NRS, the Board of Directors is expressly authorized to make, alter, amend or repeal the Bylaws and to adopt any new bylaws;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Bylaws also may be amended or repealed in any respect, and any new bylaw may be adopted, in each case by the affirmative vote of the holders of at least a majority of the voting power of the outstanding stock of the Corporation entitled to vote in the election of directors.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EIGHTH. The Corporation shall, to the fullest extent permitted by the NRS (including, without limitation, NRS 78.7502 and 78.751), as the same exists or may hereafter be amended or supplemented, or by any successor thereto, indemnify each person who was or is made a party or is threatened to be made a party to or is involved in any threatened, pending or completed action, suit or proceeding, whether civil, criminal, administrative or investigative (hereinafter a “proceeding”), by reason of the fact that he or she, or a person of whom he or she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as a manager of a limited liability company), including service with respect to employee benefit plans, from and against any and all of the expenses, liabilities or other matters referred to therein or covered thereby. Such right to indemnification shall continue as to a person who has ceased to be a director, officer, employee or agent and shall inure to the benefit of the heirs, executors and administrators of such a person. The indemnification provided for herein shall not be deemed exclusive of any other rights to which those seeking indemnification may be entitled under any bylaw, agreement, vote of stockholders or disinterested directors or otherwise.</w:t>
      </w:r>
    </w:p>
    <w:p>
      <w:pPr>
        <w:spacing w:after="0" w:line="19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liability of directors and officers of the Corporation is hereby eliminated or limited to the fullest extent permitted by the NRS. Without limiting the effect of the preceding sentence, if the NRS is amended to further eliminate or limit or authorize corporate action to further eliminate or limit the liability of directors or officers, the liability of directors and officers of the Corporation shall be automatically eliminated or limited to the fullest extent permitted by the NRS, as so amended.</w:t>
      </w:r>
    </w:p>
    <w:p>
      <w:pPr>
        <w:spacing w:after="0" w:line="18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No amendment, modification or repeal of this Article EIGHTH shall adversely affect any right or protection of a person that exists at the time of such amendment, modification or repeal.</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NINTH. In furtherance and not in limitation of NRS 78.140,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joins in the signing of a written consent which authorizes or approves the contract or transaction pursuant to NRS 78.315(2)), or solely because such director’s or officer’s vote(s) or consent(s) are counted for such purpose, if: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3" w:name="page24"/>
    <w:bookmarkEnd w:id="23"/>
    <w:p>
      <w:pPr>
        <w:ind w:left="444" w:right="16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w:t>
      </w:r>
    </w:p>
    <w:p>
      <w:pPr>
        <w:spacing w:after="0" w:line="68" w:lineRule="exact"/>
        <w:rPr>
          <w:sz w:val="20"/>
          <w:szCs w:val="20"/>
          <w:color w:val="auto"/>
        </w:rPr>
      </w:pPr>
    </w:p>
    <w:p>
      <w:pPr>
        <w:ind w:left="444" w:firstLine="423"/>
        <w:spacing w:after="0" w:line="282" w:lineRule="auto"/>
        <w:rPr>
          <w:sz w:val="20"/>
          <w:szCs w:val="20"/>
          <w:color w:val="auto"/>
        </w:rPr>
      </w:pPr>
      <w:r>
        <w:rPr>
          <w:rFonts w:ascii="Times New Roman" w:cs="Times New Roman" w:eastAsia="Times New Roman" w:hAnsi="Times New Roman"/>
          <w:sz w:val="18"/>
          <w:szCs w:val="18"/>
          <w:color w:val="auto"/>
        </w:rPr>
        <w:t>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w:t>
      </w:r>
    </w:p>
    <w:p>
      <w:pPr>
        <w:spacing w:after="0" w:line="54" w:lineRule="exact"/>
        <w:rPr>
          <w:sz w:val="20"/>
          <w:szCs w:val="20"/>
          <w:color w:val="auto"/>
        </w:rPr>
      </w:pPr>
    </w:p>
    <w:p>
      <w:pPr>
        <w:ind w:left="444" w:right="280" w:firstLine="423"/>
        <w:spacing w:after="0" w:line="282" w:lineRule="auto"/>
        <w:rPr>
          <w:sz w:val="20"/>
          <w:szCs w:val="20"/>
          <w:color w:val="auto"/>
        </w:rPr>
      </w:pPr>
      <w:r>
        <w:rPr>
          <w:rFonts w:ascii="Times New Roman" w:cs="Times New Roman" w:eastAsia="Times New Roman" w:hAnsi="Times New Roman"/>
          <w:sz w:val="18"/>
          <w:szCs w:val="18"/>
          <w:color w:val="auto"/>
        </w:rPr>
        <w:t>C. The contract or transaction is fair as to the Corporation as of the time it is authorized, approved or ratified by the Board of Directors, a committee thereof, or the stockholders.</w:t>
      </w:r>
    </w:p>
    <w:p>
      <w:pPr>
        <w:spacing w:after="0" w:line="162"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Common or interested directors may be counted in the presence of a quorum at a meeting of the Board of Directors or of a committee which authorizes the contract or transaction.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TENTH.</w:t>
      </w:r>
    </w:p>
    <w:p>
      <w:pPr>
        <w:spacing w:after="0" w:line="252"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Acknowledgements and Definitions.</w:t>
      </w:r>
    </w:p>
    <w:p>
      <w:pPr>
        <w:spacing w:after="0" w:line="225" w:lineRule="exact"/>
        <w:rPr>
          <w:sz w:val="20"/>
          <w:szCs w:val="20"/>
          <w:color w:val="auto"/>
        </w:rPr>
      </w:pPr>
    </w:p>
    <w:p>
      <w:pPr>
        <w:ind w:left="4" w:right="60" w:firstLine="991"/>
        <w:spacing w:after="0" w:line="252" w:lineRule="auto"/>
        <w:rPr>
          <w:sz w:val="20"/>
          <w:szCs w:val="20"/>
          <w:color w:val="auto"/>
        </w:rPr>
      </w:pPr>
      <w:r>
        <w:rPr>
          <w:rFonts w:ascii="Times New Roman" w:cs="Times New Roman" w:eastAsia="Times New Roman" w:hAnsi="Times New Roman"/>
          <w:sz w:val="18"/>
          <w:szCs w:val="18"/>
          <w:color w:val="auto"/>
        </w:rPr>
        <w:t>It is recognized that (a) certain directors and officers of the Corporation and its subsidiaries (the “</w:t>
      </w:r>
      <w:r>
        <w:rPr>
          <w:rFonts w:ascii="Times New Roman" w:cs="Times New Roman" w:eastAsia="Times New Roman" w:hAnsi="Times New Roman"/>
          <w:sz w:val="18"/>
          <w:szCs w:val="18"/>
          <w:u w:val="single" w:color="auto"/>
          <w:color w:val="auto"/>
        </w:rPr>
        <w:t>Overlap Persons</w:t>
      </w:r>
      <w:r>
        <w:rPr>
          <w:rFonts w:ascii="Times New Roman" w:cs="Times New Roman" w:eastAsia="Times New Roman" w:hAnsi="Times New Roman"/>
          <w:sz w:val="18"/>
          <w:szCs w:val="18"/>
          <w:color w:val="auto"/>
        </w:rPr>
        <w:t>”) have served and may serve as directors, officers, employees and agents of Madison Square Garden Sports Corp., Sphere Entertainment Co., and Madison Square Garden Entertainment Corp. and their respective subsidiaries and successors (each of the foregoing, including its subsidiaries and successors, is an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(b) the Corporation and its subsidiaries, directly or indirectly, may engage in the same, similar or related lines of business as those engaged in by any Other Entity and other business activities that overlap with or compete with those in which such Other Entity may engage, (c) the Corporation or its subsidiaries may have an interest in the same areas of business opportunity as an Other Entity, (d) the Corporation will derive substantial benefits from the services of Overlap Persons as directors or officers of the Corporation and its subsidiaries, (e) it is in the best interests of the Corporation that the rights of the Corporation, and the duties of any Overlap Persons, be determined and delineated as provided in this Article TENTH in respect of any Potential Business Opportunities (as defined below) and in respect of the agreements and transactions referred to herein. The provisions of this Article TENTH will, to the fullest extent permitted by law, regulate and define the conduct of the business and affairs of the Corporation and its officers and directors who are Overlap Persons in connection with any Potential Business Opportunities and in connection with any agreements and transactions referred to herein. Any person purchasing or otherwise acquiring any shares of capital stock of the Corporation, or any interest therein, will be deemed to have notice of and to have consented to the provisions of this Article TENTH. References in this Article TENTH to “directors,” “officers,” “employees” and “agents” of any person will be deemed to include those persons who hold similar positions or exercise similar powers and authority with respect to any other entity that is a limited liability company, partnership, joint venture or other non-corporate entity.</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4" w:name="page25"/>
    <w:bookmarkEnd w:id="24"/>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Duties of Directors and Officers Regarding Potential Business Opportunities; Renunciation of Interest in Potential Business Opportunities.</w:t>
      </w:r>
    </w:p>
    <w:p>
      <w:pPr>
        <w:spacing w:after="0" w:line="225"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The Corporation hereby renounces, on behalf of itself and its subsidiaries, to the fullest extent permitted by law, any interest or expectancy in any Potential Business Opportunity (as defined below) that is not a Restricted Potential Business Opportunity (as defined below). If a director or officer of the Corporation who is an Overlap Person is presented or offered, or otherwise acquires knowledge of, a potential transaction or matter that may constitute or present a business opportunity for the Corporation or any of its subsidiaries, in which the Corporation or any of its subsidiaries could, but for the provisions of this Article TENTH, have an interest or expectancy (any such transaction or matter, and any such actual or potential business opportunity, a “</w:t>
      </w:r>
      <w:r>
        <w:rPr>
          <w:rFonts w:ascii="Times New Roman" w:cs="Times New Roman" w:eastAsia="Times New Roman" w:hAnsi="Times New Roman"/>
          <w:sz w:val="18"/>
          <w:szCs w:val="18"/>
          <w:u w:val="single" w:color="auto"/>
          <w:color w:val="auto"/>
        </w:rPr>
        <w:t>Potential Business Opportunity</w:t>
      </w:r>
      <w:r>
        <w:rPr>
          <w:rFonts w:ascii="Times New Roman" w:cs="Times New Roman" w:eastAsia="Times New Roman" w:hAnsi="Times New Roman"/>
          <w:sz w:val="18"/>
          <w:szCs w:val="18"/>
          <w:color w:val="auto"/>
        </w:rPr>
        <w:t>”), (i) such Overlap Person will, to the fullest extent permitted by law, have no duty or obligation to refrain from referring such Potential Business Opportunity to any Other Entity and, if such Overlap Person refers such Potential Business Opportunity to an Other Entity, such Overlap Person shall have no duty or obligation to refer such Potential Business Opportunity to the Corporation or to any of its subsidiaries or to give any notice to the Corporation or to any of its subsidiaries regarding such Potential Business Opportunity (or any matter related thereto), (ii) if such Overlap Person refers a Potential Business Opportunity to an Other Entity, such Overlap Person, to the fullest extent permitted by law, will not be liable to the Corporation as a director, officer, stockholder or otherwise, for any failure to refer such Potential Business Opportunity to the Corporation, or for referring such Potential Business Opportunity to any Other Entity, or for any failure to give any notice to the Corporation regarding such Potential Business Opportunity or any matter relating thereto, (iii) any Other Entity may participate, engage or invest in any such Potential Business Opportunity notwithstanding that such Potential Business Opportunity may have been referred to such Other Entity by an Overlap Person, and (iv) if a director or officer who is an Overlap Person refers a Potential Business Opportunity to an Other Entity, then, as between the Corporation and/or its subsidiaries, on the one hand, and such Other Entity, on the other hand, the Corporation and its subsidiaries shall be deemed to have renounced any interest, expectancy or right in or to such Potential Business Opportunity or to receive any income or proceeds derived therefrom solely as a result of such Overlap Person having been presented or offered, or otherwise acquiring knowledge of, such Potential Business Opportunity, unless in each case referred to in clause (i), (ii), (iii) and (iv), such Potential Business Opportunity satisfies all of the following conditions (any Potential Business Opportunity that satisfies all of such conditions, a “</w:t>
      </w:r>
      <w:r>
        <w:rPr>
          <w:rFonts w:ascii="Times New Roman" w:cs="Times New Roman" w:eastAsia="Times New Roman" w:hAnsi="Times New Roman"/>
          <w:sz w:val="18"/>
          <w:szCs w:val="18"/>
          <w:u w:val="single" w:color="auto"/>
          <w:color w:val="auto"/>
        </w:rPr>
        <w:t>Restricted Potential Business Opportunity</w:t>
      </w:r>
      <w:r>
        <w:rPr>
          <w:rFonts w:ascii="Times New Roman" w:cs="Times New Roman" w:eastAsia="Times New Roman" w:hAnsi="Times New Roman"/>
          <w:sz w:val="18"/>
          <w:szCs w:val="18"/>
          <w:color w:val="auto"/>
        </w:rPr>
        <w:t xml:space="preserve">”): (A) such Potential Business Opportunity was expressly presented or offered to the Overlap Person solely in his or her capacity as a director or officer of the Corporation; (B) the Overlap Person believed that the Corporation possessed, or would reasonably be expected to be able to possess, the resources necessary to exploit such Potential Business Opportunity; and (C) substantially all of such opportunity, at the time it is presented to the Overlap Person, is, and is expected to remain, an “Independent Film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Corporation or any of its subsidiaries is directly engaged in that business at the time the Potential Business Opportunity is presented or offered to the Overlap Person. For purposes hereof,</w:t>
      </w:r>
    </w:p>
    <w:p>
      <w:pPr>
        <w:spacing w:after="0" w:line="1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25" w:name="page26"/>
    <w:bookmarkEnd w:id="25"/>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w:t>
      </w:r>
      <w:r>
        <w:rPr>
          <w:rFonts w:ascii="Times New Roman" w:cs="Times New Roman" w:eastAsia="Times New Roman" w:hAnsi="Times New Roman"/>
          <w:sz w:val="18"/>
          <w:szCs w:val="18"/>
          <w:u w:val="single" w:color="auto"/>
          <w:color w:val="auto"/>
        </w:rPr>
        <w:t>Independent Film Network</w:t>
      </w:r>
      <w:r>
        <w:rPr>
          <w:rFonts w:ascii="Times New Roman" w:cs="Times New Roman" w:eastAsia="Times New Roman" w:hAnsi="Times New Roman"/>
          <w:sz w:val="18"/>
          <w:szCs w:val="18"/>
          <w:color w:val="auto"/>
        </w:rPr>
        <w:t>” shall mean a nationally distributed cable television network that (i) has at least fifty million viewing subscribers in the United States, (ii) at least 75% of its (x) programming is comprised of and (y) revenues are derived from, independent films and other programming relating to the world of independent film, and (iii) is not targeted to sports fans or music fans (including, without limitation, such network does not feature a material portion of music or sports-related programming). In the event the Corporation’s board of directors, or a committee thereof, declines to pursue a Restricted Potential Business Opportunity, Overlap Persons shall be free to refer such Restricted Potential Business Opportunity to an Other Entity.</w:t>
      </w:r>
    </w:p>
    <w:p>
      <w:pPr>
        <w:spacing w:after="0" w:line="214"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Agreements and Transactions Permitted.</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No contract, agreement, arrangement or transaction (or any amendment, modification or termination thereof) entered into between the Corporation and/or any of its subsidiaries, on the one hand, and an Other Entity, on the other hand, before the Corporation and such Other Entity (if applicable) ceased to be indirect, wholly-owned subsidiaries of Cablevision Systems Corporation shall be void or voidable or be considered unfair to the Corporation or any of its subsidiaries solely because an Other Entity is a party thereto, or because any directors, officers or employees of an Other Entity were present at or participated in any meeting of the board of directors, or a committee thereof, of the Corporation, or the board of directors, or committee thereof, of any subsidiary of the Corporation, that authorized the contract, agreement, arrangement or transaction (or any amendment, modification or termination thereof), or because his, her or their votes were counted for such purpose. The Corporation may from time to time enter into and perform, and cause or permit any of its subsidiaries to enter into and perform, one or more contracts, agreements, arrangements or transactions (or amendments, modifications or supplements thereto) with an Other Entity. To the fullest extent permitted by law, no such contract, agreement, arrangement or transaction (nor any such amendments, modifications or supplements), nor the performance thereof by the Corporation, any subsidiary of the Corporation or an Other Entity, shall be considered contrary to any fiduciary duty owed to the Corporation (or to any subsidiary of the Corporation, or to any stockholder of the Corporation or any of its subsidiaries) by any director or officer of the Corporation (or by any director or officer of any subsidiary of the Corporation) who is an Overlap Person. To the fullest extent permitted by law, no director or officer of the Corporation or any subsidiary of the Corporation who is an Overlap Person thereof shall have or be under any fiduciary duty to the Corporation (or to any subsidiary of the Corporation, or to any stockholder of the Corporation or any of its subsidiaries) to refrain from acting on behalf of the Corporation (or any subsidiary of the Corporation) or an Other Entity, in respect of any such contract, agreement, arrangement or transaction or performing any such contract, agreement, arrangement or transaction in accordance with its terms and each such director or officer of the Corporation or any subsidiary of the Corporation who is an Overlap Person shall be deemed to have acted in good faith and in a manner such person reasonably believed to be in or not opposed to the best interests of the Corporation and its subsidiaries, and shall be deemed not to have breached his or her duties (including, without limitation, the duty of loyalty) to the Corporation or any of its subsidiaries or any of their respective stockholders, and not to have derived an improper personal benefit therefrom.</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6" w:name="page27"/>
    <w:bookmarkEnd w:id="26"/>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of Article TENTH.</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No alteration, amendment or repeal of, or adoption of any provision inconsistent with, any provision of this Article TENTH will have any effect upon (a) any agreement between the Corporation or a subsidiary thereof and any Other Entity, that was entered into before the time of such alteration, amendment or repeal or adoption of any such inconsistent provision (the “</w:t>
      </w:r>
      <w:r>
        <w:rPr>
          <w:rFonts w:ascii="Times New Roman" w:cs="Times New Roman" w:eastAsia="Times New Roman" w:hAnsi="Times New Roman"/>
          <w:sz w:val="18"/>
          <w:szCs w:val="18"/>
          <w:u w:val="single" w:color="auto"/>
          <w:color w:val="auto"/>
        </w:rPr>
        <w:t>Amendment Time</w:t>
      </w:r>
      <w:r>
        <w:rPr>
          <w:rFonts w:ascii="Times New Roman" w:cs="Times New Roman" w:eastAsia="Times New Roman" w:hAnsi="Times New Roman"/>
          <w:sz w:val="18"/>
          <w:szCs w:val="18"/>
          <w:color w:val="auto"/>
        </w:rPr>
        <w:t>”), or any transaction entered into in connection with the performance of any such agreement, whether such transaction is entered into before or after the Amendment Time, (b) any transaction entered into between the Corporation or a subsidiary thereof and any Other Entity, before the Amendment Time, (c) the allocation of any business opportunity between the Corporation or any subsidiary thereof and any Other Entity before the Amendment Time, or (d) any duty or obligation owed by any director or officer of the Corporation or any subsidiary of the Corporation (or the absence of any such duty or obligation) with respect to any Potential Business Opportunity which such director or officer was offered, or of which such director or officer otherwise became aware, before the Amendment Time (regardless of whether any proceeding relating to any of the above is commenced before or after the Amendment Time).</w:t>
      </w:r>
    </w:p>
    <w:p>
      <w:pPr>
        <w:spacing w:after="0" w:line="188"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ELEVENTH. Notwithstanding anything to the contrary in these Articles of Incorporation or the Bylaws, the Corporation is hereby specifically allowed to make any distribution that otherwise would be prohibited by NRS 78.288(2)(b).</w:t>
      </w:r>
    </w:p>
    <w:p>
      <w:pPr>
        <w:spacing w:after="0" w:line="162"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TWELFTH. If any provision or provisions of these Articles of Incorporation shall be held to be invalid, illegal or unenforceable as applied to any circumstance for any reason whatsoever: (i) the validity, legality and enforceability of such provision(s) in any other circumstance and of the remaining provisions of these Articles of Incorporation (including, without limitation, each portion of any paragraph of these Articles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these Articles of Incorporation (including, without limitation, each such portion of any paragraph of these Articles of Incorporation containing any such provision held to be invalid, illegal or unenforceable) shall be construed so as to permit the Corporation to protect its directors, officers, employees and agents from individual liability.</w:t>
      </w:r>
    </w:p>
    <w:p>
      <w:pPr>
        <w:spacing w:after="0" w:line="192" w:lineRule="exact"/>
        <w:rPr>
          <w:sz w:val="20"/>
          <w:szCs w:val="20"/>
          <w:color w:val="auto"/>
        </w:rPr>
      </w:pPr>
    </w:p>
    <w:p>
      <w:pPr>
        <w:jc w:val="both"/>
        <w:ind w:left="4" w:right="180" w:firstLine="991"/>
        <w:spacing w:after="0" w:line="272" w:lineRule="auto"/>
        <w:rPr>
          <w:sz w:val="20"/>
          <w:szCs w:val="20"/>
          <w:color w:val="auto"/>
        </w:rPr>
      </w:pPr>
      <w:r>
        <w:rPr>
          <w:rFonts w:ascii="Times New Roman" w:cs="Times New Roman" w:eastAsia="Times New Roman" w:hAnsi="Times New Roman"/>
          <w:sz w:val="17"/>
          <w:szCs w:val="17"/>
          <w:color w:val="auto"/>
        </w:rPr>
        <w:t>THIRTEENTH. To the fullest extent permitted by applicable law, each and every person or entity purchasing or otherwise acquiring any interest (of any nature whatsoever) in any shares of capital stock of the Corporation shall be deemed, by reason of and from and after the time of such purchase or other acquisition, to have notice of and to have consented to all of the provisions of (i) the Articles of Incorporation, (ii) the Bylaws and</w:t>
      </w:r>
    </w:p>
    <w:p>
      <w:pPr>
        <w:spacing w:after="0" w:line="2" w:lineRule="exact"/>
        <w:rPr>
          <w:sz w:val="20"/>
          <w:szCs w:val="20"/>
          <w:color w:val="auto"/>
        </w:rPr>
      </w:pPr>
    </w:p>
    <w:p>
      <w:pPr>
        <w:ind w:left="4" w:right="100" w:hanging="4"/>
        <w:spacing w:after="0" w:line="260" w:lineRule="auto"/>
        <w:tabs>
          <w:tab w:leader="none" w:pos="3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Articles of Incorporation or the Bylaws enacted or adopted in accordance with the Articles of Incorporation, the Bylaws and applicable law.</w:t>
      </w:r>
    </w:p>
    <w:p>
      <w:pPr>
        <w:spacing w:after="0" w:line="181" w:lineRule="exact"/>
        <w:rPr>
          <w:sz w:val="20"/>
          <w:szCs w:val="20"/>
          <w:color w:val="auto"/>
        </w:rPr>
      </w:pPr>
    </w:p>
    <w:p>
      <w:pPr>
        <w:jc w:val="center"/>
        <w:ind w:right="-23"/>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xml:space="preserve">*    </w:t>
        <w:tab/>
        <w:t>*      *</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AMC NETWORKS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ADOPTED EFFECTIVE AS OF JUNE 5, 2025</w:t>
      </w:r>
    </w:p>
    <w:p>
      <w:pPr>
        <w:sectPr>
          <w:pgSz w:w="11900" w:h="16838" w:orient="portrait"/>
          <w:cols w:equalWidth="0" w:num="1">
            <w:col w:w="10020"/>
          </w:cols>
          <w:pgMar w:left="1440" w:top="121" w:right="4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640" w:type="dxa"/>
            <w:vAlign w:val="bottom"/>
            <w:gridSpan w:val="4"/>
          </w:tcPr>
          <w:p>
            <w:pPr>
              <w:jc w:val="right"/>
              <w:ind w:right="4428"/>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2"/>
        </w:trPr>
        <w:tc>
          <w:tcPr>
            <w:tcW w:w="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Stockholders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 Uncertificated Shares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Fractional Share Interests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Stock Transfers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 for Stockholders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Meaning of Certain Terms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 Meetings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Directors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2"/>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Functions and Definitions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Qualifications and Number</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Election and Term</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Meeting</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Action in Writing</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 Committee</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Committees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Officers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2"/>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Term of Office; Removal</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Authority and Duties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8"/>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The Chairman</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Voting of Stock in Other Companies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Corporate Seal and Corporate Books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Fiscal Year</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Amendments to Bylaws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Indemnification</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Inapplicability of Controlling Interest Statutes</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Forum Selection</w:t>
            </w:r>
          </w:p>
        </w:tc>
        <w:tc>
          <w:tcPr>
            <w:tcW w:w="6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jc w:val="right"/>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BYLAWS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AMC NETWORKS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5" w:lineRule="exact"/>
        <w:rPr>
          <w:sz w:val="20"/>
          <w:szCs w:val="20"/>
          <w:color w:val="auto"/>
        </w:rPr>
      </w:pPr>
    </w:p>
    <w:p>
      <w:pPr>
        <w:ind w:firstLine="436"/>
        <w:spacing w:after="0" w:line="254"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Certificates; Uncertificated Shares</w:t>
      </w:r>
      <w:r>
        <w:rPr>
          <w:rFonts w:ascii="Times New Roman" w:cs="Times New Roman" w:eastAsia="Times New Roman" w:hAnsi="Times New Roman"/>
          <w:sz w:val="18"/>
          <w:szCs w:val="18"/>
          <w:color w:val="auto"/>
        </w:rPr>
        <w:t>. The shares of stock in the corporation shall be represented by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provide by resolution or resolutions that some or all of any or all classes or series of the corporation’s stock shall be uncertificated shares. Any such resolution shall not apply to shares represented by a certificate theretofore issued until such certificate is surrendered to the corporation. Notwithstanding the adoption of such a resolution by the Board of Directors, to the extent, if any, required by applicable law, every holder of stock in the corporation represented by a certificate shall be entitled to have a certificate signed by, or in the name of, the corporation by the Chairman, the Chief Executive Officer or Vice Chairman, if any, or by the President, if any, or a Vice President and by the Treasurer or an Assistant Treasurer or the Secretary or an Assistant Secretary of the corporation certifying the number of shares owned by him in the corporation. If such certificate is countersigned by a transfer agent other than the corporation or its employee or by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86"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Whenever the corporation shall be authorized to issue more than one class of stock or more than one series of any class of stock, and whenever the corporation shall issue any shares of its stock as partly paid stock, the certificates representing shares of any such class or series or of any such partly paid stock shall set forth thereon any statements prescribed by the Nevada Revised Statutes (the “NRS”). Any restrictions on the transfer or registration of transfer of any shares of stock of any class or series shall be noted conspicuously on the certificate representing such shares. Within a reasonable time after the issuance or transfer of uncertificated stock, the corporation shall send to the registered owner thereof a written notice containing the information required by law to be set forth or stated on certificates, which may also include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ectPr>
          <w:pgSz w:w="11900" w:h="16838" w:orient="portrait"/>
          <w:cols w:equalWidth="0" w:num="1">
            <w:col w:w="11000"/>
          </w:cols>
          <w:pgMar w:left="440" w:top="266" w:right="459" w:bottom="1440" w:gutter="0" w:footer="0" w:header="0"/>
        </w:sectPr>
      </w:pPr>
    </w:p>
    <w:bookmarkStart w:id="30" w:name="page31"/>
    <w:bookmarkEnd w:id="30"/>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 may issue a new certificate of stock or uncertificated shares in place of any certificate theretofore issued by it, alleged to have been lost, stolen, or destroyed, and the Board of Directors may require the owner of any lost, stolen, or destroyed certificate, or such owner’s legal representative, to give the corporation a bond sufficient to indemnify the corporation against any claim that may be made against it on account of the alleged loss, theft, or destruction of any such certificate or the issuance of any such new certificate.</w:t>
      </w:r>
    </w:p>
    <w:p>
      <w:pPr>
        <w:spacing w:after="0" w:line="176" w:lineRule="exact"/>
        <w:rPr>
          <w:sz w:val="20"/>
          <w:szCs w:val="20"/>
          <w:color w:val="auto"/>
        </w:rPr>
      </w:pPr>
    </w:p>
    <w:p>
      <w:pPr>
        <w:ind w:left="4" w:firstLine="436"/>
        <w:spacing w:after="0" w:line="255" w:lineRule="auto"/>
        <w:tabs>
          <w:tab w:leader="none" w:pos="6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Fractional Share Interests</w:t>
      </w:r>
      <w:r>
        <w:rPr>
          <w:rFonts w:ascii="Times New Roman" w:cs="Times New Roman" w:eastAsia="Times New Roman" w:hAnsi="Times New Roman"/>
          <w:sz w:val="18"/>
          <w:szCs w:val="18"/>
          <w:color w:val="auto"/>
        </w:rPr>
        <w:t>. The corporation may, but shall not be required to, issue fractions of a share. In lieu thereof it shall either pay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the fair value of such fractions of a share, as determined by the Board of Directors, to those entitled thereto or issue scrip in registered form, either represented by a certificate or uncertificated, or bearer form over the manual or facsimile signature of an officer of the corporation or of its agent, exchangeable as therein provided for full shares, but such scrip shall not entitle the holder to any rights of a stockholder except as therein provided. Such scrip may be issued subject to the condition that the same shall become void if not exchanged for certificates representing full shares of stock or uncertificated full shares of stock before a specified date, or subject to the condition that the shares of stock for which such scrip are exchangeable may be sold by the corporation and the proceeds thereof distributed to the holders of such scrip, or subject to any other conditions which the Board of Directors may determine.</w:t>
      </w:r>
    </w:p>
    <w:p>
      <w:pPr>
        <w:spacing w:after="0" w:line="184" w:lineRule="exact"/>
        <w:rPr>
          <w:rFonts w:ascii="Times New Roman" w:cs="Times New Roman" w:eastAsia="Times New Roman" w:hAnsi="Times New Roman"/>
          <w:sz w:val="18"/>
          <w:szCs w:val="18"/>
          <w:color w:val="auto"/>
        </w:rPr>
      </w:pPr>
    </w:p>
    <w:p>
      <w:pPr>
        <w:ind w:left="4" w:right="60" w:firstLine="436"/>
        <w:spacing w:after="0" w:line="259" w:lineRule="auto"/>
        <w:tabs>
          <w:tab w:leader="none" w:pos="6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Transfers</w:t>
      </w:r>
      <w:r>
        <w:rPr>
          <w:rFonts w:ascii="Times New Roman" w:cs="Times New Roman" w:eastAsia="Times New Roman" w:hAnsi="Times New Roman"/>
          <w:sz w:val="18"/>
          <w:szCs w:val="18"/>
          <w:color w:val="auto"/>
        </w:rPr>
        <w:t>. Upon compliance with provisions restricting the transfer or registration of transfer of shares of stock, if any, transfers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of transfer of shares of stock of the corporation shall be made only on the stock ledger of the corporation by the registered holder thereof, or by such holder’s attorney thereunto authorized by power of attorney duly executed and filed with the Secretary of the corporation or with a transfer agent or a registrar, if any, and, in the case of shares represented by certificates, on surrender of the certificate or certificates for such shares of stock properly endorsed and the payment of all taxes due thereon.</w:t>
      </w:r>
    </w:p>
    <w:p>
      <w:pPr>
        <w:spacing w:after="0" w:line="179" w:lineRule="exact"/>
        <w:rPr>
          <w:rFonts w:ascii="Times New Roman" w:cs="Times New Roman" w:eastAsia="Times New Roman" w:hAnsi="Times New Roman"/>
          <w:sz w:val="18"/>
          <w:szCs w:val="18"/>
          <w:color w:val="auto"/>
        </w:rPr>
      </w:pPr>
    </w:p>
    <w:p>
      <w:pPr>
        <w:ind w:left="4" w:firstLine="436"/>
        <w:spacing w:after="0" w:line="270" w:lineRule="auto"/>
        <w:tabs>
          <w:tab w:leader="none" w:pos="624"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Record Date for Stockholders</w:t>
      </w:r>
      <w:r>
        <w:rPr>
          <w:rFonts w:ascii="Times New Roman" w:cs="Times New Roman" w:eastAsia="Times New Roman" w:hAnsi="Times New Roman"/>
          <w:sz w:val="17"/>
          <w:szCs w:val="17"/>
          <w:color w:val="auto"/>
        </w:rPr>
        <w:t>. For the purpose of determining the stockholders entitled to notice of or to vote at any meeting of stockholders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any adjournment or postponement thereof, or for the purpose of determining stockholders entitled to receive payment of any dividend or other distribution or the allotment of any rights, or entitled to exercise any rights in respect of any change, conversion, or exchange of stock, or for the purpose of any other lawful action, the directors may fix, in advance, a date as the record date for any such determination of stockholders. Such date shall not be more than sixty days nor less than ten days before the date of such meeting, nor more than sixty days prior to any other action. If no record date is fixed:</w:t>
      </w:r>
    </w:p>
    <w:p>
      <w:pPr>
        <w:spacing w:after="0" w:line="2" w:lineRule="exact"/>
        <w:rPr>
          <w:rFonts w:ascii="Times New Roman" w:cs="Times New Roman" w:eastAsia="Times New Roman" w:hAnsi="Times New Roman"/>
          <w:sz w:val="17"/>
          <w:szCs w:val="17"/>
          <w:color w:val="auto"/>
        </w:rPr>
      </w:pPr>
    </w:p>
    <w:p>
      <w:pPr>
        <w:ind w:left="4" w:right="40" w:hanging="4"/>
        <w:spacing w:after="0" w:line="270" w:lineRule="auto"/>
        <w:tabs>
          <w:tab w:leader="none" w:pos="21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record date for the determination of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 When a determination of stockholders of record entitled to notice of or to vote at any meeting of stockholders has been made as provided in this paragraph, such determination shall apply to any adjournment or postponement thereof, subject to any applicable limitations under the NRS;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Board of Directors may fix a new record date for the adjourned or postponed meeting.</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1" w:name="page32"/>
    <w:bookmarkEnd w:id="31"/>
    <w:p>
      <w:pPr>
        <w:ind w:firstLine="436"/>
        <w:spacing w:after="0" w:line="254" w:lineRule="auto"/>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Meaning of Certain Terms</w:t>
      </w:r>
      <w:r>
        <w:rPr>
          <w:rFonts w:ascii="Times New Roman" w:cs="Times New Roman" w:eastAsia="Times New Roman" w:hAnsi="Times New Roman"/>
          <w:sz w:val="18"/>
          <w:szCs w:val="18"/>
          <w:color w:val="auto"/>
        </w:rPr>
        <w:t>. As used herein in respect of the right to notice of a meeting of stockholders or a waiver thereof or to participate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vote thereat, the term “share” or “shares” or “share of stock” or “shares of stock” or “stockholder” or “stockholders” refers to an outstanding share or shares of stock and to a holder or holders of record of outstanding shares of stock when the corporation is authorized to issue only one class of shares of stock, and said reference is also intended to include any outstanding share or shares of stock and any holder or holders of record of outstanding shares of stock of any class upon which or upon whom the corporation’s articles of incorporation (as amended from time to time, the “articles of incorporation”) confers such rights where there are two or more classes or series of shares of stock or upon which or upon whom the NRS confers such rights notwithstanding that the articles of incorporation may provide for more than one class or series of shares of stock, one or more of which are limited or denied such rights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right shall vest in the event of an increase or a decrease in the authorized number of shares of stock of any class or series which is otherwise denied voting rights under the provisions of the articles of incorporation, including any Preferred Stock which is denied voting rights under the provisions of the resolution or resolutions adopted by the Board of Directors with respect to the issuance of, or the certificate of designation relating to, such Preferred Stock.</w:t>
      </w:r>
    </w:p>
    <w:p>
      <w:pPr>
        <w:spacing w:after="0" w:line="18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The annual meeting shall be held on the date and at the time fixed, from time to time, by the directors. A special meeting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on the date and at the time fixed by the directors.</w:t>
      </w:r>
    </w:p>
    <w:p>
      <w:pPr>
        <w:spacing w:after="0" w:line="155"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Location</w:t>
      </w:r>
      <w:r>
        <w:rPr>
          <w:rFonts w:ascii="Times New Roman" w:cs="Times New Roman" w:eastAsia="Times New Roman" w:hAnsi="Times New Roman"/>
          <w:sz w:val="18"/>
          <w:szCs w:val="18"/>
          <w:color w:val="auto"/>
        </w:rPr>
        <w:t>. Annual meetings and special meetings shall be held at such physical location (if any), within or without the State of Nevada,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may, from time to time, fix. Whenever the directors shall fail to fix such physical location (unless such meeting is to be held solely by means of remote communication), the meeting shall be held at the registered office of the corporation in the State of Nevada. A meeting of stockholders may be held solely by means of remote communication, as may be designated by the directors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Call</w:t>
      </w:r>
      <w:r>
        <w:rPr>
          <w:rFonts w:ascii="Times New Roman" w:cs="Times New Roman" w:eastAsia="Times New Roman" w:hAnsi="Times New Roman"/>
          <w:sz w:val="18"/>
          <w:szCs w:val="18"/>
          <w:color w:val="auto"/>
        </w:rPr>
        <w:t>. Annual meetings and special meetings may be called by the Board of Directors only.</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Notice or Waiver of Notice</w:t>
      </w:r>
      <w:r>
        <w:rPr>
          <w:rFonts w:ascii="Times New Roman" w:cs="Times New Roman" w:eastAsia="Times New Roman" w:hAnsi="Times New Roman"/>
          <w:sz w:val="18"/>
          <w:szCs w:val="18"/>
          <w:color w:val="auto"/>
        </w:rPr>
        <w:t>. Notice of all meetings shall be given, stating the physical location (if any), date, and hour of the meeting,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means of remote communication (if any) by which stockholders and proxyholders may be deemed to be present in person and vote at such meeting. The notice of an annual meeting shall state that the meeting is called for the election of directors and for the transaction of other business which may properly come before the meeting, and shall (if any other action which could be taken at a special meeting is to be taken at such annual meeting) state such other action or actions as are known at the time of such notice. The notice of a special meeting shall in all instances state the purpose or purposes for which the meeting is called. If any action is proposed to be taken which would, if taken, entitle stockholders to receive payment for their shares of stock, the notice shall include a statement of that purpose and to that effect. Except as otherwise provided or permitted by the NRS (including, without limitation, NRS 78.370(9)), a copy of the notice of any meeting shall be given, personally or by mail or in such other manner as may be permitted by the NRS, not less than ten days nor more than sixty days before the date of the meeting, unless the lapse of the prescribed period of time shall have been waived. If mailed, such notice shall be deemed to be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32" w:name="page33"/>
    <w:bookmarkEnd w:id="32"/>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given when deposited, with postage thereof prepaid, in the United States mail directed to the stockholder at such stockholder’s record address or at such other address which such stockholder may have furnished for such purpose in writing to the Secretary of the corporation. In addition, if stockholders have consented to receive notices by a form of electronic transmission, then such notice, by facsimile telecommunication, or by electronic mail, shall be deemed to be given when directed to a number or an electronic mail address, respectively, at which the stockholder has consented to receive notice. If such notice is transmitted by a posting on an electronic network together with separate notice to the stockholder of such specific posting, such notice shall be deemed to be given upon the later of (i) such posting, and (ii) the giving of such separate notice. If such notice is transmitted by any other form of electronic transmission, such notice shall be deemed to be given when directed to the stockholder. Notice shall be deemed to have been given to all stockholders of record who share an address if notice is given in accordance with the “householding” rules of the Securities and Exchange Commission (the “Commission”) under the Securities Exchange Act of 1934 (the “Exchange Act”). For purposes of these bylaws (as amended from time to time, these “bylaws”), “electronic transmission” means any form of communication, not directly involving the physical transmission of paper, that creates a record that may be retained, retrieved and reviewed by a recipient thereof, and that may be directly reproduced in paper form through an automated process. Notice need not be given to any stockholder who submits a written waiver of notice before or after the time stated therein.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178"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Adjournments. </w:t>
      </w:r>
      <w:r>
        <w:rPr>
          <w:rFonts w:ascii="Times New Roman" w:cs="Times New Roman" w:eastAsia="Times New Roman" w:hAnsi="Times New Roman"/>
          <w:sz w:val="18"/>
          <w:szCs w:val="18"/>
          <w:color w:val="auto"/>
        </w:rPr>
        <w:t>Any meeting of stockholders, annual or special, may be adjourned or postponed from time to time, to reconvene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or some other physical location (if any), and notice need not be given of any such adjourned meeting if the time, physical location, if any, thereof, and the means of remote communication, if any, thereof are announced at the meeting at which the adjournment is taken. At any adjourned or postponed meeting the corporation may transact any business which might have been transacted at the original meeting. If the adjournment or postponement is for more than thirty days, or if after the adjournment or postponement a new record date is fixed for the adjourned or postponed meeting, a notice of the adjourned or postponed meeting shall be given to each stockholder of record entitled to vote at the meeting.</w:t>
      </w:r>
    </w:p>
    <w:p>
      <w:pPr>
        <w:spacing w:after="0" w:line="182"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b w:val="1"/>
          <w:bCs w:val="1"/>
          <w:color w:val="auto"/>
        </w:rPr>
        <w:t>Stockholder List</w:t>
      </w:r>
      <w:r>
        <w:rPr>
          <w:rFonts w:ascii="Times New Roman" w:cs="Times New Roman" w:eastAsia="Times New Roman" w:hAnsi="Times New Roman"/>
          <w:sz w:val="17"/>
          <w:szCs w:val="17"/>
          <w:color w:val="auto"/>
        </w:rPr>
        <w:t>. There shall be prepared and made, at least ten days before every meeting of stockholders, a complete list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entitled to vote at the meeting, arranged in alphabetical order, and showing the address of each stockholder of record (as defined in NRS 78.010(1)(k)) and the number of shares of each class of capital stock of the corporation registered in the name of each such stockholder of record. Nothing in this Section shall require the corporation to include electronic mail addresses or other electronic contact information on such list. Such list shall be open to the examination of any stockholder, for any purpose germane to the meeting, for a period of at least ten days prior to the meeting either</w:t>
      </w:r>
    </w:p>
    <w:p>
      <w:pPr>
        <w:spacing w:after="0" w:line="3" w:lineRule="exact"/>
        <w:rPr>
          <w:sz w:val="20"/>
          <w:szCs w:val="20"/>
          <w:color w:val="auto"/>
        </w:rPr>
      </w:pPr>
    </w:p>
    <w:p>
      <w:pPr>
        <w:ind w:left="4" w:hanging="4"/>
        <w:spacing w:after="0" w:line="255" w:lineRule="auto"/>
        <w:tabs>
          <w:tab w:leader="none" w:pos="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principal place of business of the corporation. In the event that the corporation determines to make the list</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33" w:name="page34"/>
    <w:bookmarkEnd w:id="3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available on an electronic network, the corporation may take reasonable steps to ensure that such information is available only to stockholders of the corporation. If the meeting is to be held at a physical location, then a list of stockholders entitled to vote at the meeting shall be produced and kept at the time and physical location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 The stock ledger shall be the only evidence as to who are the stockholders entitled to examine the stock ledger pursuant to NRS 78.105, the list required by this Section or the books of account and financial statements of the corporation (only if and to the extent required by NRS 78.257), or to vote at any meeting of stockholders.</w:t>
      </w:r>
    </w:p>
    <w:p>
      <w:pPr>
        <w:spacing w:after="0" w:line="18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Conduct of Meeting</w:t>
      </w:r>
      <w:r>
        <w:rPr>
          <w:rFonts w:ascii="Times New Roman" w:cs="Times New Roman" w:eastAsia="Times New Roman" w:hAnsi="Times New Roman"/>
          <w:sz w:val="18"/>
          <w:szCs w:val="18"/>
          <w:color w:val="auto"/>
        </w:rPr>
        <w:t>. Meetings of the stockholders shall be presided over by one of the following officers in the order of seniority and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and acting, the Chairman, if any, the Chief Executive Officer, if any, a Vice Chairman, if any, the President, if any, a Vice President, a chairman for the meeting chosen by the Board of Directors, or, if none of the foregoing is in office and present and acting, by a chairman to be chosen by the stockholders. The Secretary of the corporation, or in his or her absence, an Assistant Secretary, shall act as secretary of every meeting, but if neither the Secretary nor an Assistant Secretary is present, the chairman for the meeting shall appoint a secretary of the meeting. The presiding officer shall: call the meeting to order; determine when proxies must be filed with the secretary of the meeting; open the polls, establish the time period for which polls remain open and close the polls; decide who may address the meeting and generally determine the order of business and time for adjournment of the meeting. The presiding officer shall also maintain proper and orderly conduct, and shall take all means reasonably necessary to prevent or cease disruptions, personal attacks or inflammatory remarks at the meeting. In addition to the powers and duties specified herein, the presiding officer shall have the authority to make all other determinations necessary for the order and proper conduct of the meeting.</w:t>
      </w:r>
    </w:p>
    <w:p>
      <w:pPr>
        <w:spacing w:after="0" w:line="18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Proxy Representation</w:t>
      </w:r>
      <w:r>
        <w:rPr>
          <w:rFonts w:ascii="Times New Roman" w:cs="Times New Roman" w:eastAsia="Times New Roman" w:hAnsi="Times New Roman"/>
          <w:sz w:val="18"/>
          <w:szCs w:val="18"/>
          <w:color w:val="auto"/>
        </w:rPr>
        <w:t>. Every stockholder may authorize another person or persons to act for such stockholder by proxy in all matters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 stockholder is entitled to participate, whether by waiving notice of any meeting or voting or participating at a meeting. Such authorization may take any form permitted by the NRS. No proxy shall be voted or acted upon after six months from its date unless such proxy provides for a longer period in accordance with the NRS. A duly executed proxy shall be irrevocable if it states that it is irrevocable and, if, and only as long as, it is coupled with an interest sufficient in law to support an irrevocable power.</w:t>
      </w:r>
    </w:p>
    <w:p>
      <w:pPr>
        <w:spacing w:after="0" w:line="179"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Inspectors</w:t>
      </w:r>
      <w:r>
        <w:rPr>
          <w:rFonts w:ascii="Times New Roman" w:cs="Times New Roman" w:eastAsia="Times New Roman" w:hAnsi="Times New Roman"/>
          <w:sz w:val="18"/>
          <w:szCs w:val="18"/>
          <w:color w:val="auto"/>
        </w:rPr>
        <w:t>. The corporation shall, in advance of any meeting of stockholders, appoint one or more inspectors to act at the meeting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or postponement thereof. The corporation may designate one or more persons as alternate inspectors to replace any inspector who fails to act. If no inspector or alternate is able to act at the meeting of stockholders, the person presiding at the meeting shall appoint one or more inspectors to act at the meeting. Each inspector before entering upon the discharge of such inspector’s duties, shall take and sign an oath faithfully to execute the duties of inspector at such meeting with strict impartiality and according to the best of his or her ability. The inspectors shall ascertain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4" w:name="page35"/>
    <w:bookmarkEnd w:id="3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number of shares of stock outstanding and the voting power of each; determine the shares of stock represented at the meeting and the validity of proxies and ballots; receive, count and tabulate all votes and ballots; determine, and retain for a reasonable period of time a record of the disposition of, any challenges made to their determinations; and certify their determination of the number of shares represented at the meeting and their count of all votes and ballots. The inspector or inspectors may appoint or retain other entities to assist the inspectors in the performance of their duties.</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 Except as the NRS, the articles of incorporation or these bylaws may otherwise provide, the holders of a majority of the votes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represented by the outstanding shares of stock entitled to vote, present in person or represented by proxy (regardless of whether the proxy has authority to vote on any matter), shall constitute a quorum at a meeting of stockholders for the transaction of any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articles of incorporation or the NRS provides that voting on a particular action is to be by class, the holders of a majority of the votes, present in person or represented by proxy (regardless of whether the proxy has authority to vote on any matter), represented by the outstanding shares of stock of such class shall constitute a quorum at a meeting of stockholders for the authorization of such action. Two or more classes or series of stock shall be considered a single class if the holders thereof are entitled to vote together as a single class at the meeting. In the absence of a quorum of the holders of any class of stock entitled to vote on a matter, either (i) the holders of such class so present or represented may, by majority vote, adjourn the meeting of such class from time to time in the manner provided above in this Section 6 until a quorum of such class shall be so present or represented, or (ii) the chairperson of the meeting may on his or her own motion adjourn the meeting from time to time in the manner provided above in this Section 6 until a quorum of such class shall be so present and represented, without the approval of the stockholders who are present in person or represented by proxy and entitled to vote and without notice other than announcement at the meeting. When a quorum is once present to organize a meeting, it is not broken by the subsequent withdrawal of any stockholders.</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Except as otherwise provided in these bylaws, the articles of incorporation or, with respect to Preferred Stock, the resolution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resolutions of the Board of Directors providing for the issuance thereof and the certificate of designation relating thereto, and except as otherwise provided by the NRS, at every meeting of the stockholders, each stockholder entitled to vote at such meeting shall be entitled to the number of votes as specified, and to the extent provided for, in the articles of incorporation or, with respect to Preferred Stock, the resolution or resolutions of the Board of Directors providing for the issuance thereof and the certificate of designation relating thereto, in person or by proxy, for each share of stock entitled to vote held by such stockholder. In the election of directors, a plurality of the votes cast by each class of stock, voting separately as a class, shall elect the directors that such class is authorized to elect as specified, and to the extent provided for, in the articles of incorporation. Any other action shall be authorized by a majority of the votes cast (and for the avoidance of doubt, abstentions or broker non-votes are not “votes cast”) except where the articles of incorporation or the NRS prescribes a different percentage of votes and/or a different exercise of voting power. Voting by ballot shall not be required for corporate action except as otherwise provided by the NRS.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5" w:name="page36"/>
    <w:bookmarkEnd w:id="35"/>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Advance Notice of Stockholder Proposals</w:t>
      </w:r>
      <w:r>
        <w:rPr>
          <w:rFonts w:ascii="Times New Roman" w:cs="Times New Roman" w:eastAsia="Times New Roman" w:hAnsi="Times New Roman"/>
          <w:sz w:val="18"/>
          <w:szCs w:val="18"/>
          <w:color w:val="auto"/>
        </w:rPr>
        <w:t>. At any annual or special meeting of stockholders, proposals by stockholders and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nominated for election as directors by stockholders shall be considered only if advance notice thereof has been timely given as provided herein. Notice of any proposal to be presented by any stockholder or of the name of any person to be nominated by any stockholder for election as a director of the corporation at any meeting of stockholders shall be given to the Secretary of the corporation not less than 60 nor more than 90 days prior to the date of the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date of the meeting is publicly announced or disclosed less than 70 days prior to the date of the meeting, such notice shall be given not more than ten days after such date is first so announced or disclosed. No additional public announcement or disclosure of the date of any annual meeting of stockholders need be made if the corporation shall have previously disclosed, in these bylaws or otherwise, that the annual meeting in each year is to be held on a determinable date, unless and until the Board of Directors determines to hold the meeting on a different date. The person presiding at the meeting shall determine whether such notice has been duly given and shall direct that proposals and nominees not be considered if such notice has not duly been given.</w:t>
      </w:r>
    </w:p>
    <w:p>
      <w:pPr>
        <w:spacing w:after="0" w:line="189"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Any stockholder who gives notice of any such proposal shall deliver therewith the text of the proposal to be presented, including the text of any resolutions to be presented for consideration by the stockholders, a brief written statement of the reasons why such stockholder favors the proposal, such stockholder’s name and address, the number and class of all shares of each class of stock of the corporation and each derivative instrument beneficially owned by such stockholder, a description of any material interest of such stockholder in the proposal (other than as a stockholder) and a description of all agreements, arrangements and understandings between such stockholder, if any, and any other person or persons (including the names of such persons) in connection with the proposal.</w:t>
      </w:r>
    </w:p>
    <w:p>
      <w:pPr>
        <w:spacing w:after="0" w:line="18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Any stockholder desiring to nominate any person for election as a director of the corporation shall deliver with such notice a statement in writing setting forth the name of the person to be nominated, the number and class of all shares of each class of stock of the corporation and each derivative instrument beneficially owned by such person, the information regarding such person required by Item 401 of Regulation S-K adopted by the Commission (“Regulation S-K”), such person’s signed consent to serve as a director of the corporation if elected, all other information relating to such person that would be required to be disclosed in a proxy statement or other filings required to be made in connection with solicitations of proxies for the election of directors in a contested election pursuant to Section 14 of the Exchange Act (including the rules and regulations promulgated thereunder), a representation confirming that such nominee is eligible for consideration as an independent director under the relevant standards contemplated by Item 407(a) of Regulation S-K and the primary national stock exchange upon which the corporation’s shares are then listed (including for purposes of membership on the audit and compensation committees of the Board of Directors), any compensation or other material agreements, arrangements understandings or relationships between such director nominee and such stockholder or any other person in connection with the nomination, such stockholder’s name and address and the number and class of all shares of each class of stock of the corporation and each derivative instrument beneficially owned by such stockholder. The corporation may also require any nominee to furnish such other information, including completion of the corporation’s director questionnaire, as it may reasonably request.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36" w:name="page37"/>
    <w:bookmarkEnd w:id="36"/>
    <w:p>
      <w:pPr>
        <w:jc w:val="both"/>
        <w:ind w:right="12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delivered with respect to proposals by stockholders and persons nominated for election as directors by stockholders must also include (a) a representation that the stockholder that submitted the notice is a stockholder of record (as defined in NRS 78.010(1)(k)) of the corporation entitled to vote at such meeting of the corporation on the matter proposed and intends to appear in person at such meeting to propose its nomination or other business and (b) if the stockholder intends to solicit proxies in support of such stockholder’s proposal, a representation to that effect.</w:t>
      </w:r>
    </w:p>
    <w:p>
      <w:pPr>
        <w:spacing w:after="0" w:line="16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As used herein, (i) shares “beneficially owned” shall mean all shares as to which such person, together with such person’s affiliates and associates (as defined in Rule 12b-2 under the Exchange Act), may be deemed to beneficially own pursuant to Rules 13d-3 and 13d-5 under the Exchange Act, as well as all shares as to which such person, together with such person’s affiliates and associates, has the right to become the beneficial owner pursuant to any agreement or understanding, or upon the exercise of warrants, options or rights to convert or exchange (whether such rights are exercisable immediately or only after the passage of time or the occurrence of conditions), (ii) “derivative instrument” shall mean any security or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and any other direct or indirect opportunity to profit or share in any profit derived from any increase or decrease in the value of shares of the corporation (including, for the avoidance of doubt, any short interest), and (iii) a meeting is “publicly announced or disclosed” if it is announced in a press release issued by the corporation and distributed by a national news service or disclosed in a document publicly filed by the corporation with the Commission.</w:t>
      </w:r>
    </w:p>
    <w:p>
      <w:pPr>
        <w:spacing w:after="0" w:line="200" w:lineRule="exact"/>
        <w:rPr>
          <w:sz w:val="20"/>
          <w:szCs w:val="20"/>
          <w:color w:val="auto"/>
        </w:rPr>
      </w:pPr>
    </w:p>
    <w:p>
      <w:pPr>
        <w:spacing w:after="0" w:line="20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ind w:right="220" w:firstLine="436"/>
        <w:spacing w:after="0" w:line="268"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Functions and Definitions</w:t>
      </w:r>
      <w:r>
        <w:rPr>
          <w:rFonts w:ascii="Times New Roman" w:cs="Times New Roman" w:eastAsia="Times New Roman" w:hAnsi="Times New Roman"/>
          <w:sz w:val="18"/>
          <w:szCs w:val="18"/>
          <w:color w:val="auto"/>
        </w:rPr>
        <w:t>. The business of the corporation shall be managed by or under the direction of the Board of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use of the phrase “whole Board of Directors” herein refers to the total number of directors which the corporation would have if there were no vacancies.</w:t>
      </w:r>
    </w:p>
    <w:p>
      <w:pPr>
        <w:spacing w:after="0" w:line="170" w:lineRule="exact"/>
        <w:rPr>
          <w:rFonts w:ascii="Times New Roman" w:cs="Times New Roman" w:eastAsia="Times New Roman" w:hAnsi="Times New Roman"/>
          <w:sz w:val="18"/>
          <w:szCs w:val="18"/>
          <w:color w:val="auto"/>
        </w:rPr>
      </w:pPr>
    </w:p>
    <w:p>
      <w:pPr>
        <w:ind w:right="340" w:firstLine="436"/>
        <w:spacing w:after="0" w:line="262"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Qualifications and Number</w:t>
      </w:r>
      <w:r>
        <w:rPr>
          <w:rFonts w:ascii="Times New Roman" w:cs="Times New Roman" w:eastAsia="Times New Roman" w:hAnsi="Times New Roman"/>
          <w:sz w:val="18"/>
          <w:szCs w:val="18"/>
          <w:color w:val="auto"/>
        </w:rPr>
        <w:t>. A director need not be a stockholder, a citizen of the United States, or a resident of the State of Nevada.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directors constituting the whole Board of Directors shall be at least three. Subject to the foregoing limitation, the number of directors constituting the whole Board of Directors may be fixed from time to time by action of the Board of Directors only, or, if the number is not fixed, the number shall be 12.</w:t>
      </w:r>
    </w:p>
    <w:p>
      <w:pPr>
        <w:spacing w:after="0" w:line="176" w:lineRule="exact"/>
        <w:rPr>
          <w:rFonts w:ascii="Times New Roman" w:cs="Times New Roman" w:eastAsia="Times New Roman" w:hAnsi="Times New Roman"/>
          <w:sz w:val="18"/>
          <w:szCs w:val="18"/>
          <w:color w:val="auto"/>
        </w:rPr>
      </w:pPr>
    </w:p>
    <w:p>
      <w:pPr>
        <w:ind w:right="100" w:firstLine="436"/>
        <w:spacing w:after="0" w:line="262"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Election and Term</w:t>
      </w:r>
      <w:r>
        <w:rPr>
          <w:rFonts w:ascii="Times New Roman" w:cs="Times New Roman" w:eastAsia="Times New Roman" w:hAnsi="Times New Roman"/>
          <w:sz w:val="18"/>
          <w:szCs w:val="18"/>
          <w:color w:val="auto"/>
        </w:rPr>
        <w:t>. Except as may be otherwise specified in the articles of incorporation, directors who are elected or appointed at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and directors who are elected or appointed in the interim to fill vacancies and newly created directorships, shall hold office for the term of the class for which such directors shall have been chosen and until their successors have been elected and qualified or until their earlier resignation or removal. Any director may resign at any time upon written notice to the corporation. Such</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7" w:name="page38"/>
    <w:bookmarkEnd w:id="3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shall take effect at the time it is delivered unless the resignation specifies a later effective date or an effective date determined upon the happening of an event or events. In the interim between annual meetings of stockholders or of special meetings of stockholders called for the election of directors and/or for the removal of one or more directors and for the filling of any vacancies in the Board of Directors, including vacancies resulting from any removal of directors for cause or without cause, any vacancy in the Board of Directors may be filled as provided in the articles of incorporation.</w:t>
      </w:r>
    </w:p>
    <w:p>
      <w:pPr>
        <w:spacing w:after="0" w:line="179" w:lineRule="exact"/>
        <w:rPr>
          <w:sz w:val="20"/>
          <w:szCs w:val="20"/>
          <w:color w:val="auto"/>
        </w:rPr>
      </w:pPr>
    </w:p>
    <w:p>
      <w:pPr>
        <w:ind w:left="620" w:hanging="184"/>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Meetings shall be held at such time as the Board of Directors shall fix.</w:t>
      </w:r>
    </w:p>
    <w:p>
      <w:pPr>
        <w:spacing w:after="0" w:line="22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First Meeting</w:t>
      </w:r>
      <w:r>
        <w:rPr>
          <w:rFonts w:ascii="Times New Roman" w:cs="Times New Roman" w:eastAsia="Times New Roman" w:hAnsi="Times New Roman"/>
          <w:sz w:val="18"/>
          <w:szCs w:val="18"/>
          <w:color w:val="auto"/>
        </w:rPr>
        <w:t>. The first meeting of each newly elected Board of Directors may be held immediately after each annual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at the same physical location at which the annual meeting of stockholders is held (if the annual meeting of stockholders is held at a physical location), and no notice of such meeting shall be necessary, provided a quorum shall be present. In the event such first meeting is not so held immediately after the annual meeting of the stockholders, it may be held at such time and physical location, if any, as shall be specified in the notice given as hereinafter provided for special meetings of the Board of Directors, or at such time and physical location, if any, as shall be fixed by the consent in writing of all of the directors.</w:t>
      </w:r>
    </w:p>
    <w:p>
      <w:pPr>
        <w:spacing w:after="0" w:line="182"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Location</w:t>
      </w:r>
      <w:r>
        <w:rPr>
          <w:rFonts w:ascii="Times New Roman" w:cs="Times New Roman" w:eastAsia="Times New Roman" w:hAnsi="Times New Roman"/>
          <w:sz w:val="18"/>
          <w:szCs w:val="18"/>
          <w:color w:val="auto"/>
        </w:rPr>
        <w:t>. Meetings, both regular and special, shall be held at such physical location, if any, within or without the State of Nevada as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fixed by the Board of Directors. A meeting of the Board of Directors may be held solely by means of remote communication, as may be designated by the directors from time to time.</w:t>
      </w:r>
    </w:p>
    <w:p>
      <w:pPr>
        <w:spacing w:after="0" w:line="171"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Call</w:t>
      </w:r>
      <w:r>
        <w:rPr>
          <w:rFonts w:ascii="Times New Roman" w:cs="Times New Roman" w:eastAsia="Times New Roman" w:hAnsi="Times New Roman"/>
          <w:sz w:val="18"/>
          <w:szCs w:val="18"/>
          <w:color w:val="auto"/>
        </w:rPr>
        <w:t>. No call shall be required for regular meetings for which the time and physical location, if any, have been fixed. Special meetings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called by or at the direction of the Chairman, if any, a Vice Chairman, if any, the Chief Executive Officer, or the President, if any, or of a majority of the directors in office.</w:t>
      </w:r>
    </w:p>
    <w:p>
      <w:pPr>
        <w:spacing w:after="0" w:line="171" w:lineRule="exact"/>
        <w:rPr>
          <w:sz w:val="20"/>
          <w:szCs w:val="20"/>
          <w:color w:val="auto"/>
        </w:rPr>
      </w:pPr>
    </w:p>
    <w:p>
      <w:pPr>
        <w:ind w:right="2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Notice or Actual or Constructive Waiver</w:t>
      </w:r>
      <w:r>
        <w:rPr>
          <w:rFonts w:ascii="Times New Roman" w:cs="Times New Roman" w:eastAsia="Times New Roman" w:hAnsi="Times New Roman"/>
          <w:sz w:val="18"/>
          <w:szCs w:val="18"/>
          <w:color w:val="auto"/>
        </w:rPr>
        <w:t>. No notice shall be required for regular meetings for which the time and physical location,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have been fixed. Written, oral, electronic or any other mode of notice of the time and physical location, if any, and the means of remote communication, if any, by which directors may be deemed to be present in person and vote at such meeting, shall be given for special meetings in sufficient time for the convenient assembly of the directors thereat. The notice of any meeting need not specify the purpose of the meeting. Any requirement of furnishing a notice shall be waived by any director who signs a written waiver of such notice before or after the time stated therein.</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Attendance of a director at a meeting of the Board of Directors shall constitute a waiver of notice of such meeting, except when the director attends a meeting for the express purpose of objecting, at the beginning of the meeting, to the transaction of any business because the meeting is not lawfully called or convened.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8" w:name="page39"/>
    <w:bookmarkEnd w:id="38"/>
    <w:p>
      <w:pPr>
        <w:ind w:right="20" w:firstLine="991"/>
        <w:spacing w:after="0" w:line="27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Quorum and Action</w:t>
      </w:r>
      <w:r>
        <w:rPr>
          <w:rFonts w:ascii="Times New Roman" w:cs="Times New Roman" w:eastAsia="Times New Roman" w:hAnsi="Times New Roman"/>
          <w:sz w:val="17"/>
          <w:szCs w:val="17"/>
          <w:color w:val="auto"/>
        </w:rPr>
        <w:t>. A majority of the whole Board of Directors shall constitute a quorum except when a vacancy or vacancies prevents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such majority, whereupon a majority of the directors in office shall constitute a quorum;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majority shall constitute at least one-third (1/3) of the whole Board of Directors. Any director may participate in a meeting of the Board of Directors by means of remote communication by means of which all directors participating in the meeting can hear each other, and such participation in a meeting of the Board of Directors shall constitute presence in person at such meeting. A majority of the directors present, whether or not a quorum is present, may adjourn a meeting to another time and physical location, if any (or alternatively, by means of remote communication). Except as herein otherwise provided, and except as otherwise provided by the NRS or the articles of incorporation, the act of the Board of Directors shall be the act by vote of a majority of the directors present at a meeting, a quorum being present. The quorum and voting provisions herein stated shall not be construed as conflicting with any provisions of the NRS and these bylaws which govern a meeting of directors held to fill vacancies and newly created directorships in the Board of Directors.</w:t>
      </w:r>
    </w:p>
    <w:p>
      <w:pPr>
        <w:spacing w:after="0" w:line="173"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Chairman of the Meeting</w:t>
      </w:r>
      <w:r>
        <w:rPr>
          <w:rFonts w:ascii="Times New Roman" w:cs="Times New Roman" w:eastAsia="Times New Roman" w:hAnsi="Times New Roman"/>
          <w:sz w:val="18"/>
          <w:szCs w:val="18"/>
          <w:color w:val="auto"/>
        </w:rPr>
        <w:t>. The Chairman, if any, and if present and acting, shall preside at all meetings; otherwise, any other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chosen by the Board of Directors shall preside.</w:t>
      </w:r>
    </w:p>
    <w:p>
      <w:pPr>
        <w:spacing w:after="0" w:line="155" w:lineRule="exact"/>
        <w:rPr>
          <w:sz w:val="20"/>
          <w:szCs w:val="20"/>
          <w:color w:val="auto"/>
        </w:rPr>
      </w:pPr>
    </w:p>
    <w:p>
      <w:pPr>
        <w:ind w:right="100" w:firstLine="436"/>
        <w:spacing w:after="0" w:line="257"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Any or all of the directors may be removed for cause or without cause by the vote of stockholders representing not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than two-thirds of the voting power of the issued and outstanding stock entitled to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 long as the articles of incorporation provides that each class of stock, voting separately as a class, shall elect a certain percentage of directors, a director may be removed without cause by stockholders only by the vote of the holders of the class of stock representing not less than two-thirds of the voting power of the issued and outstanding shares of such class of stock entitled to vote, voting separately as a class, that either elected such director or elected the predecessor of such director whose position was filled by such director due to the predecessor director’s death, resignation or removal.</w:t>
      </w:r>
    </w:p>
    <w:p>
      <w:pPr>
        <w:spacing w:after="0" w:line="182" w:lineRule="exact"/>
        <w:rPr>
          <w:rFonts w:ascii="Times New Roman" w:cs="Times New Roman" w:eastAsia="Times New Roman" w:hAnsi="Times New Roman"/>
          <w:sz w:val="18"/>
          <w:szCs w:val="18"/>
          <w:color w:val="auto"/>
        </w:rPr>
      </w:pPr>
    </w:p>
    <w:p>
      <w:pPr>
        <w:ind w:right="160" w:firstLine="436"/>
        <w:spacing w:after="0" w:line="262"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Action in Writing</w:t>
      </w:r>
      <w:r>
        <w:rPr>
          <w:rFonts w:ascii="Times New Roman" w:cs="Times New Roman" w:eastAsia="Times New Roman" w:hAnsi="Times New Roman"/>
          <w:sz w:val="18"/>
          <w:szCs w:val="18"/>
          <w:color w:val="auto"/>
        </w:rPr>
        <w:t>. Any action required or permitted to be taken at any meeting of the Board of Directors or any committee thereof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without a meeting if all members of the Board of Directors or committee, as the case may be (other than any director abstaining in writing pursuant to and in accordance with NRS 78.315(2)), consent thereto in writing, and the writing or writings are filed with the minutes of proceedings of the Board of Directors or committee.</w:t>
      </w:r>
    </w:p>
    <w:p>
      <w:pPr>
        <w:spacing w:after="0" w:line="176"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Powers</w:t>
      </w:r>
      <w:r>
        <w:rPr>
          <w:rFonts w:ascii="Times New Roman" w:cs="Times New Roman" w:eastAsia="Times New Roman" w:hAnsi="Times New Roman"/>
          <w:sz w:val="18"/>
          <w:szCs w:val="18"/>
          <w:color w:val="auto"/>
        </w:rPr>
        <w:t>. The Board of Directors may appoint an Executive Committee of the Board of Directors of the corporation of such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as shall be determined from time to time by the Board of Directors. The term of office of each member of the Executive Committee shall be co-extensive with the term of such member’s office as a director. Any member of the Executive Committee who shall cease to be a director of the corporation shall ipso facto cease to be a member of the Executive Committee. A majority of the members of the Executive Committee shall constitute a quorum for the valid transaction of business. The Executive Committee may meet at stated times or on two days’ notice by any member of the Executive Committee to all other members, by delivered letter, by mail, by courier service or by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39" w:name="page40"/>
    <w:bookmarkEnd w:id="39"/>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email. The provisions of Section 4 of this Article II with respect to waiver of notice of meetings of the Board of Directors and participation at meetings of the Board of Directors by means of remote communication shall apply to meetings of the Executive Committee. The provisions of Section 6 of this Article II with respect to action taken by a committee of the Board of Directors without a meeting shall apply to action taken by the Executive Committee. The Executive Committee shall have and may exercise all the powers and authority of the Board of Directors in the management of the business and affairs of the corporation, unless and only to the extent otherwise limited by the NRS. The Executive Committee shall have power to make rules and regulations for the conduct of its business. Vacancies in the membership of the Executive Committee shall be filled by the Board of Directors from among the directors at a regular meeting, or at a special meeting held for that purpose.</w:t>
      </w:r>
    </w:p>
    <w:p>
      <w:pPr>
        <w:spacing w:after="0" w:line="185"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Chairman and Secretary</w:t>
      </w:r>
      <w:r>
        <w:rPr>
          <w:rFonts w:ascii="Times New Roman" w:cs="Times New Roman" w:eastAsia="Times New Roman" w:hAnsi="Times New Roman"/>
          <w:sz w:val="18"/>
          <w:szCs w:val="18"/>
          <w:color w:val="auto"/>
        </w:rPr>
        <w:t>. The Executive Committee shall elect from its own members a chairman who shall hold office during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person’s office as a member of the Executive Committee. When present, the chairman shall preside over all meetings of the Executive Committee. The Executive Committee shall also elect a secretary of the Executive Committee who shall attend all meetings of the Executive Committee and keep the minutes of its acts and proceedings. Such secretary shall be a member of the Board of Directors and may, but need not, be a member of the Executive Committee.</w:t>
      </w:r>
    </w:p>
    <w:p>
      <w:pPr>
        <w:spacing w:after="0" w:line="179" w:lineRule="exact"/>
        <w:rPr>
          <w:sz w:val="20"/>
          <w:szCs w:val="20"/>
          <w:color w:val="auto"/>
        </w:rPr>
      </w:pPr>
    </w:p>
    <w:p>
      <w:pPr>
        <w:ind w:right="34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Minutes</w:t>
      </w:r>
      <w:r>
        <w:rPr>
          <w:rFonts w:ascii="Times New Roman" w:cs="Times New Roman" w:eastAsia="Times New Roman" w:hAnsi="Times New Roman"/>
          <w:sz w:val="17"/>
          <w:szCs w:val="17"/>
          <w:color w:val="auto"/>
        </w:rPr>
        <w:t>. The Executive Committee shall keep minutes of its acts and proceedings which shall be submitted at the next meeting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and any action taken by the Board of Directors with respect thereto shall be entered in the minutes of the Board of Directors.</w:t>
      </w:r>
    </w:p>
    <w:p>
      <w:pPr>
        <w:spacing w:after="0" w:line="132"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The Executive Committee may hold meetings, both regular and special, at a physical location, if any, either within or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Nevada, as shall be set forth in the Notice of the Meeting or in a duly executed Waiver of Notice thereof. A meeting of the Executive Committee may be held solely by means of remote communication as may be designated by the members of the committee from time to time, subject to any limitations or prescriptions relating thereto prescribed by the Board of Directors.</w:t>
      </w:r>
    </w:p>
    <w:p>
      <w:pPr>
        <w:spacing w:after="0" w:line="176" w:lineRule="exact"/>
        <w:rPr>
          <w:sz w:val="20"/>
          <w:szCs w:val="20"/>
          <w:color w:val="auto"/>
        </w:rPr>
      </w:pPr>
    </w:p>
    <w:p>
      <w:pPr>
        <w:ind w:firstLine="436"/>
        <w:spacing w:after="0" w:line="254"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Committees</w:t>
      </w:r>
      <w:r>
        <w:rPr>
          <w:rFonts w:ascii="Times New Roman" w:cs="Times New Roman" w:eastAsia="Times New Roman" w:hAnsi="Times New Roman"/>
          <w:sz w:val="18"/>
          <w:szCs w:val="18"/>
          <w:color w:val="auto"/>
        </w:rPr>
        <w:t>. The Board of Directors may from time to time, by resolution adopted by affirmative vote of a majority of the whole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Directors, appoint other committees of the Board of Directors which shall have such powers and duties as the Board of Directors may properly determine. No such other committee of the Board of Directors shall be composed of fewer than two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committee appointed by the Board of Directors is initially composed of two or more directors and one or more of such directors are no longer able to serve on the committee due to death, disability, incapacity, resignation from the Board of Directors or failure to meet the qualifications for service on the relevant committee, the committee may continue its appointment with the powers and duties delegated to it by the Board of Directors with less than two directors, unless the Board of Directors determines otherwise. Meetings of such committees of the Board of Directors may be held at any physical location, if any, within or without the State of Nevada, from time to time designated by the Board of Directors or the committee in question. A meeting of a committee of the Board of Directors may be held solely by means of remote communication as may be designated by the members of the committee from time to time, subject to any limitations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0" w:name="page41"/>
    <w:bookmarkEnd w:id="40"/>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prescriptions relating thereto prescribed by the Board of Directors. Such committees may meet at stated times or on two days’ notice by any member of such committee to all other members, by delivered letter, by mail, by courier service or by email. Unless the Board of Directors otherwise provides, each committee designated by the Board of Directors may adopt, amend and repeal rules for the conduct of its business. In the absence of a provision by the Board of Directors or a provision in the rules of such committee to the contrary, a majority of the members then serving on such committee shall constitute a quorum for the transaction of business, the vote of a majority of the members present at a meeting at the time of such vote if a quorum is then present shall be the act of such committee. The provisions of Section 4 of this Article II with respect to waiver of notice of meetings of the Board of Directors and participation at meetings of the Board of Directors by means of remote communication shall apply to meetings of such other committees.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firstLine="436"/>
        <w:spacing w:after="0" w:line="259"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The directors shall elect the officers required by the NRS, and may elect or appoint an Executive Chairman, a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 Chief Operating Officer, a Chief Financial Officer, a Chief Accounting Officer, one or more Vice Chairmen, a President, one or more Vice Presidents (one or more of whom may be denominated “Executive Vice President” or “Senior Vice President”), a Secretary, one or more Assistant Secretaries, a Treasurer, one or more Assistant Treasurers, a Controller, one or more Assistant Controllers and such other officers as they may determine. Any number of offices may be held by the same person.</w:t>
      </w:r>
    </w:p>
    <w:p>
      <w:pPr>
        <w:spacing w:after="0" w:line="179" w:lineRule="exact"/>
        <w:rPr>
          <w:rFonts w:ascii="Times New Roman" w:cs="Times New Roman" w:eastAsia="Times New Roman" w:hAnsi="Times New Roman"/>
          <w:sz w:val="18"/>
          <w:szCs w:val="18"/>
          <w:color w:val="auto"/>
        </w:rPr>
      </w:pPr>
    </w:p>
    <w:p>
      <w:pPr>
        <w:ind w:right="220" w:firstLine="436"/>
        <w:spacing w:after="0" w:line="268"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Office; Removal</w:t>
      </w:r>
      <w:r>
        <w:rPr>
          <w:rFonts w:ascii="Times New Roman" w:cs="Times New Roman" w:eastAsia="Times New Roman" w:hAnsi="Times New Roman"/>
          <w:sz w:val="18"/>
          <w:szCs w:val="18"/>
          <w:color w:val="auto"/>
        </w:rPr>
        <w:t>. Unless otherwise provided in the resolution of election or appointment, each officer shall hold office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the Board of Directors following the next annual meeting of stockholders and until such officer’s successor has been elected and qualified. The Board of Directors may remove any officer for cause or without cause.</w:t>
      </w:r>
    </w:p>
    <w:p>
      <w:pPr>
        <w:spacing w:after="0" w:line="170" w:lineRule="exact"/>
        <w:rPr>
          <w:rFonts w:ascii="Times New Roman" w:cs="Times New Roman" w:eastAsia="Times New Roman" w:hAnsi="Times New Roman"/>
          <w:sz w:val="18"/>
          <w:szCs w:val="18"/>
          <w:color w:val="auto"/>
        </w:rPr>
      </w:pPr>
    </w:p>
    <w:p>
      <w:pPr>
        <w:ind w:firstLine="436"/>
        <w:spacing w:after="0" w:line="262"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 and Duties</w:t>
      </w:r>
      <w:r>
        <w:rPr>
          <w:rFonts w:ascii="Times New Roman" w:cs="Times New Roman" w:eastAsia="Times New Roman" w:hAnsi="Times New Roman"/>
          <w:sz w:val="18"/>
          <w:szCs w:val="18"/>
          <w:color w:val="auto"/>
        </w:rPr>
        <w:t>. All officers, as between themselves and the corporation, shall have such authority and duties as generally pertain to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offices, as well as such powers and duties as from time to time may be conferred by these bylaws, or, to the extent not so provided, by the Board of Directors. The Board of Directors may delegate to the Chairman or to the Chief Executive Officer the power and authority to define the authority and duties of any or all of the other officers of the corporation.</w:t>
      </w:r>
    </w:p>
    <w:p>
      <w:pPr>
        <w:spacing w:after="0" w:line="176" w:lineRule="exact"/>
        <w:rPr>
          <w:rFonts w:ascii="Times New Roman" w:cs="Times New Roman" w:eastAsia="Times New Roman" w:hAnsi="Times New Roman"/>
          <w:sz w:val="18"/>
          <w:szCs w:val="18"/>
          <w:color w:val="auto"/>
        </w:rPr>
      </w:pPr>
    </w:p>
    <w:p>
      <w:pPr>
        <w:ind w:firstLine="436"/>
        <w:spacing w:after="0" w:line="268"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Chairman</w:t>
      </w:r>
      <w:r>
        <w:rPr>
          <w:rFonts w:ascii="Times New Roman" w:cs="Times New Roman" w:eastAsia="Times New Roman" w:hAnsi="Times New Roman"/>
          <w:sz w:val="18"/>
          <w:szCs w:val="18"/>
          <w:color w:val="auto"/>
        </w:rPr>
        <w:t>. The Chairman, if any, shall preside at all meetings of the Board of Directors; otherwise, any other director chosen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shall preside. The Chairman, if any, shall have such additional duties as the Board of Directors may prescribe. As used in these bylaws, the term “Chairman” means the Executive Chairman, if 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VOTING OF STOCK IN OTHER COMPANIES</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Unless otherwise ordered by the Board of Directors, the Chairman, the Chief Executive Officer, a Vice Chairman, the President, a Vice President, the Secretary or the Treasurer shall have full power and authority on behalf of the corporation to attend and to act and vote at any meetings of stockholders of any corporation, or to execute written consents as a stockholder of any corporation, in which the corporation may hold stock and at any such meeting, or in connection with any such consent, shall possess and exercise any and all of the rights and powers incident to the ownership of such stock which as the owner thereof the corporation might have possessed and exercised if present or any of the foregoing officers of the corporation may in his or her discretion give a proxy or proxies in the name of the corporation to any other person or persons, who may vote said stock, execute any written consent, and exercise any and all other rights in regard to it here accorded to the officers. The Board of Directors by resolution from time to time may limit or curtail such power. The officers named above shall have the same powers with respect to entities which are not corporations.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SEAL AND CORPORATE BOOKS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corporate seal, if any, shall be in such form as the Board of Directors shall prescribe.</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The books of the corporation may be kept within or without the State of Nevada, at such physical location(s) as the Board of Directors may, from time to time, determine.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fiscal year of the corporation shall be fixed, and shall be subject to change, by the Board of Directors.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 TO BYLAWS</w:t>
      </w:r>
    </w:p>
    <w:p>
      <w:pPr>
        <w:spacing w:after="0" w:line="22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by the NRS and the articles of incorporation, the Board of Directors is expressly authorized to make, alter, amend or repeal these bylaws and to adopt any new bylaws;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bylaws also may be amended or repealed in any respect, and any new bylaw may be adopted, in each case by the affirmative vote of the holders of a majority of the voting power of the outstanding stock of the corporation entitled to vote in the election of directors.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6" w:right="49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A. The corporation shall indemnify each person who was or is made a party or is threatened to be made a party to or is involved in any threatened, pending or completed action, suit or proceeding, whether civil, criminal, administrative or investigative (hereinafter a “proceeding”), by reason of the fact that he or she, or a person of whom he or she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as a manager of a limited liability company), including service with respect to employee benefit plans, to the fullest extent permitted by the NRS (including, without limitation, NRS 78.7502 and 78.751), as the same exists or may hereafter be amended or supplemented (but, in the case of any such amendment or supplement, only to the extent that such amendment or supplement permits the corporation to provide broader indemnification rights than said law permitted the corporation to provide prior to such amendment or supplement), or by any successor thereto, from and against all expense, liability and loss (including attorney’s fees, judgments, fines, ERISA excise taxes or penalties and amounts paid or to be paid in settlement) reasonably incurred by such person in connection with such proceeding. Such indemnification shall continue as to a person who has ceased to be a director, officer, employee or agent and shall inure to the benefit of his or her heirs, executors and administrators. The right to indemnification conferred in this Article shall be a contract right and shall include the right to be paid by the corporation the expenses incurred in defending any such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NRS Law so requires, the payment of such expenses incurred by a director or officer in advance of the final disposition of a proceeding shall be made only upon receipt by the corporation of an undertaking by or on behalf of such person to repay all amounts so advanced if it shall ultimately be determined that such person is not entitled to be indemnified by the corporation as authorized in this Article or otherwise.</w:t>
      </w:r>
    </w:p>
    <w:p>
      <w:pPr>
        <w:spacing w:after="0" w:line="195" w:lineRule="exact"/>
        <w:rPr>
          <w:sz w:val="20"/>
          <w:szCs w:val="20"/>
          <w:color w:val="auto"/>
        </w:rPr>
      </w:pPr>
    </w:p>
    <w:p>
      <w:pPr>
        <w:jc w:val="both"/>
        <w:ind w:right="140" w:firstLine="991"/>
        <w:spacing w:after="0" w:line="289" w:lineRule="auto"/>
        <w:rPr>
          <w:sz w:val="20"/>
          <w:szCs w:val="20"/>
          <w:color w:val="auto"/>
        </w:rPr>
      </w:pPr>
      <w:r>
        <w:rPr>
          <w:rFonts w:ascii="Times New Roman" w:cs="Times New Roman" w:eastAsia="Times New Roman" w:hAnsi="Times New Roman"/>
          <w:sz w:val="17"/>
          <w:szCs w:val="17"/>
          <w:color w:val="auto"/>
        </w:rPr>
        <w:t>B. The right to indemnification and advancement of expenses conferred on any person by this Article shall not limit the corporation from providing any other indemnification permitted by law nor shall it be deemed exclusive of any other right which any such person may have or hereafter acquire under any statute, provision of the articles of incorporation, bylaw, agreement, vote of stockholders or disinterested directors or otherwise.</w:t>
      </w:r>
    </w:p>
    <w:p>
      <w:pPr>
        <w:spacing w:after="0" w:line="15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C. The corporation may purchase and maintain insurance, at its expense, to protect itself and any director, officer, employee or agent of the corporation or another corporation, partnership, joint venture, or other enterprise against any expense, liability or loss, whether or not the corporation would have the power to indemnify such person against such expense, liability or loss under the NRS.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INAPPLICABILITY OF CONTROLLING INTEREST STATUTES</w:t>
      </w:r>
    </w:p>
    <w:p>
      <w:pPr>
        <w:spacing w:after="0" w:line="22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these bylaws to the contrary, and in accordance with the provisions of NRS 78.378, the provisions of NRS 78.378 to 78.3793, inclusive, or any successor statutes, relating to acquisitions of controlling interests in the corporation shall not apply to the corporation or to any acquisition of any shares of the corporation’s capital stock.</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 To the fullest extent permitted by law, and unless the corporation consents in writing to the selection of an alternative forum, the Eighth Judicial District Court of Clark County, Nevada (or, if the Eighth Judicial District Court of Clark County, Nevada does not have jurisdiction, any other state court located within the State of Nevada) shall be the sole and exclusive forum for any actions, suits or proceedings, whether civil, administrative or investigative (a) brought in the name or right of the corporation or on its behalf, (b) asserting a claim for breach of any fiduciary duty owed by any current or former director, officer, employee or agent of the corporation to the corporation or the corporation’s stockholders, (c) any internal action (as defined in NRS 78.046) including any action asserting a claim against the corporation arising pursuant to any provision of NRS Chapters 78 or 92A, the articles of incorporation or these bylaws, any agreement entered into pursuant to NRS 78.365 or as to which the NRS confers jurisdiction on the district court of the State of Nevada, (d) to interpret, apply, enforce or determine the validity of the articles of incorporation or these bylaws or (e) asserting a claim governed by the internal affairs doctrine.</w:t>
      </w:r>
    </w:p>
    <w:p>
      <w:pPr>
        <w:spacing w:after="0" w:line="18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B. To the fullest extent permitted by law, and unless the corporation consents in writing to the selection of an alternative forum, the federal district courts of the United States shall be the sole and exclusive forum for any claim arising under the Securities Act of 1933, as amended (the “Securities Act”), or any rule or regulation promulgated thereunder (in each case, as amended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foregoing provisions of this Section 10(B) are, or the application of such provisions to any person or any circumstance is, illegal, invalid or unenforceable, the Eighth Judicial District Court of Clark County, Nevada shall be the sole and exclusive state court forum for any claim arising under the Securities Act or any rule or regulation promulgated thereunder (in each case, as amended from time to time).</w:t>
      </w:r>
    </w:p>
    <w:p>
      <w:pPr>
        <w:spacing w:after="0" w:line="18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C. Notwithstanding anything to the contrary in these bylaws, the foregoing provisions of this Section 10 shall not apply to any claim seeking to enforce any liability, obligation or duty created by the Exchange Act or any rule or regulation promulgated thereunder (in each case, as amended from time to time) or any other claim for which the federal courts have exclusive jurisdiction to the extent such application would be contrary to law.</w:t>
      </w:r>
    </w:p>
    <w:p>
      <w:pPr>
        <w:spacing w:after="0" w:line="180" w:lineRule="exact"/>
        <w:rPr>
          <w:sz w:val="20"/>
          <w:szCs w:val="20"/>
          <w:color w:val="auto"/>
        </w:rPr>
      </w:pPr>
    </w:p>
    <w:p>
      <w:pPr>
        <w:jc w:val="center"/>
        <w:ind w:right="-5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xml:space="preserve">*       *    </w:t>
        <w:tab/>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66" w:right="499" w:bottom="1440" w:gutter="0" w:footer="0" w:header="0"/>
        </w:sectPr>
      </w:pPr>
    </w:p>
    <w:bookmarkStart w:id="44" w:name="page45"/>
    <w:bookmarkEnd w:id="44"/>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4"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Brownstein Hyatt Farber Schreck,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791335"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91335" cy="274320"/>
                    </a:xfrm>
                    <a:prstGeom prst="rect">
                      <a:avLst/>
                    </a:prstGeom>
                    <a:noFill/>
                  </pic:spPr>
                </pic:pic>
              </a:graphicData>
            </a:graphic>
          </wp:anchor>
        </w:drawing>
      </w:r>
    </w:p>
    <w:p>
      <w:pPr>
        <w:spacing w:after="0" w:line="1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702.382.2101 main</w:t>
      </w:r>
    </w:p>
    <w:p>
      <w:pPr>
        <w:spacing w:after="0" w:line="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100 North City Parkway, Suite 1600</w:t>
      </w:r>
    </w:p>
    <w:p>
      <w:pPr>
        <w:spacing w:after="0" w:line="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Las Vegas, Nevada 89106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Networks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Pennsylvania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have acted as local Nevada counsel to AMC Networks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is the resulting entity (as defined in Nevada Revised Statutes 92A.090) in the conversion of AMC Networks Inc., a Delaware corporation (the “</w:t>
      </w:r>
      <w:r>
        <w:rPr>
          <w:rFonts w:ascii="Times New Roman" w:cs="Times New Roman" w:eastAsia="Times New Roman" w:hAnsi="Times New Roman"/>
          <w:sz w:val="18"/>
          <w:szCs w:val="18"/>
          <w:u w:val="single" w:color="auto"/>
          <w:color w:val="auto"/>
        </w:rPr>
        <w:t>Delaware Corporation</w:t>
      </w:r>
      <w:r>
        <w:rPr>
          <w:rFonts w:ascii="Times New Roman" w:cs="Times New Roman" w:eastAsia="Times New Roman" w:hAnsi="Times New Roman"/>
          <w:sz w:val="18"/>
          <w:szCs w:val="18"/>
          <w:color w:val="auto"/>
        </w:rPr>
        <w:t>”), into a Nevada corporation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in connection with the Company’s Registration Statements on Form S-8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on October 13, 2016, November 17, 2020, and October 25, 2024, respectively, relating to the registration of (i) 12,000,000 shares (the “</w:t>
      </w:r>
      <w:r>
        <w:rPr>
          <w:rFonts w:ascii="Times New Roman" w:cs="Times New Roman" w:eastAsia="Times New Roman" w:hAnsi="Times New Roman"/>
          <w:sz w:val="18"/>
          <w:szCs w:val="18"/>
          <w:u w:val="single" w:color="auto"/>
          <w:color w:val="auto"/>
        </w:rPr>
        <w:t>Employee Plan Shares</w:t>
      </w:r>
      <w:r>
        <w:rPr>
          <w:rFonts w:ascii="Times New Roman" w:cs="Times New Roman" w:eastAsia="Times New Roman" w:hAnsi="Times New Roman"/>
          <w:sz w:val="18"/>
          <w:szCs w:val="18"/>
          <w:color w:val="auto"/>
        </w:rPr>
        <w:t>”) of the Company’s Class A Common Stock, par value $0.01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issuable under the Company’s Amended and Restated 2016 Employee Stock Plan (the “</w:t>
      </w:r>
      <w:r>
        <w:rPr>
          <w:rFonts w:ascii="Times New Roman" w:cs="Times New Roman" w:eastAsia="Times New Roman" w:hAnsi="Times New Roman"/>
          <w:sz w:val="18"/>
          <w:szCs w:val="18"/>
          <w:u w:val="single" w:color="auto"/>
          <w:color w:val="auto"/>
        </w:rPr>
        <w:t>Employee Plan</w:t>
      </w:r>
      <w:r>
        <w:rPr>
          <w:rFonts w:ascii="Times New Roman" w:cs="Times New Roman" w:eastAsia="Times New Roman" w:hAnsi="Times New Roman"/>
          <w:sz w:val="18"/>
          <w:szCs w:val="18"/>
          <w:color w:val="auto"/>
        </w:rPr>
        <w:t>”), and (ii) 850,000 shares (together with the Employee Plan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Class A Common Stock issuable under the Company’s Amended and Restated 2011 Stock Plan for Non-Employee Directors (together with the Employee Plan,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This opinion letter is being delivered at your request pursuant to the requirements of Item 601(b)(5) of Regulation S-K under the Act.</w:t>
      </w:r>
    </w:p>
    <w:p>
      <w:pPr>
        <w:spacing w:after="0" w:line="188"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In our capacity as such counsel, we are familiar with the proceedings taken and proposed to be taken by the Company in connection with the authorization and issuance of the Shares as contemplated by the Plans and as described in the Registration Statements. For purposes of this opinion letter, and except to the extent set forth in the opinion expressed below, we have assumed that all such proceedings have been or will be timely completed in the manner contemplated by the Plans, and as presently proposed in the Registration Statements.</w:t>
      </w:r>
    </w:p>
    <w:p>
      <w:pPr>
        <w:spacing w:after="0" w:line="180"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For the purpose of issuing this opinion letter, we have made such legal and factual examinations and inquiries, including an examination of originals or copies certified or otherwise identified to our satisfaction as being true copies of (i) the Registration Statements, (ii) the Plans, (iii) the Company’s articles of incorporation and bylaws, and (iv) such other agreements, instruments, corporate records (including resolutions of the board of directors and any committee thereof) and other documents, or forms thereof, as we have deemed necessary or appropriate, and we have obtained from officers and other representatives and agents of the Company and from public officials, and have relied upon, such certificates, representations, assurances and public filings as we have deemed necessary or appropriate.</w:t>
      </w:r>
    </w:p>
    <w:p>
      <w:pPr>
        <w:spacing w:after="0" w:line="187"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Without limiting the generality of the foregoing, we have, with your permission, assumed without independent verification that (i) each natural person executing a document has or will have sufficient legal capacity to do so; (ii) all documents submitted to us as originals are authentic, the signatures on all documents we reviewed are genuine, and all documents submitted to us as certified, conformed, photostatic, electronic or</w:t>
      </w:r>
    </w:p>
    <w:p>
      <w:pPr>
        <w:spacing w:after="0" w:line="17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www.bhfs.com</w:t>
      </w:r>
    </w:p>
    <w:p>
      <w:pPr>
        <w:sectPr>
          <w:pgSz w:w="11900" w:h="16838" w:orient="portrait"/>
          <w:cols w:equalWidth="0" w:num="1">
            <w:col w:w="11020"/>
          </w:cols>
          <w:pgMar w:left="440" w:top="117" w:right="439" w:bottom="1440" w:gutter="0" w:footer="0" w:header="0"/>
        </w:sectPr>
      </w:pPr>
    </w:p>
    <w:bookmarkStart w:id="45" w:name="page46"/>
    <w:bookmarkEnd w:id="4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AMC Networks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6,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color w:val="auto"/>
        </w:rPr>
        <w:t>facsimile copies conform to the original document; (iii) all corporate records made available to us by the Company, and all public records we have reviewed, are accurate and complete; (iv) prior to the Conversion, the Delaware Corporation has taken all corporate action required under the laws of the State of Delaware to authorize the Plans and the performance by the Company of its obligations thereunder, including the issuance of Shares; and</w:t>
      </w:r>
    </w:p>
    <w:p>
      <w:pPr>
        <w:spacing w:after="0" w:line="1" w:lineRule="exact"/>
        <w:rPr>
          <w:sz w:val="20"/>
          <w:szCs w:val="20"/>
          <w:color w:val="auto"/>
        </w:rPr>
      </w:pPr>
    </w:p>
    <w:p>
      <w:pPr>
        <w:jc w:val="both"/>
        <w:ind w:left="4" w:right="180" w:hanging="4"/>
        <w:spacing w:after="0" w:line="253"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any issuance of any Shares, the total number of issued and outstanding shares of Class A Common Stock, together with the total number of shares of Class A Common Stock then reserved for issuance or obligated to be issued by the Company pursuant to any agreement or arrangement, or otherwise, including pursuant to the Plans, will not exceed the total number of shares of Class A Common Stock then authorized under the Company’s articles of incorporation.</w:t>
      </w:r>
    </w:p>
    <w:p>
      <w:pPr>
        <w:spacing w:after="0" w:line="18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83"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Based on the foregoing and in reliance thereon, and having regard to legal considerations and other information that we deem relevant, we are of the opinion that the Shares have been duly authorized by the Company and, if, when and to the extent issued in accordance with all applicable terms and conditions set forth in the relevant Plan and in exchange for the consideration required thereunder, and as described in the Registration Statements, such Shares will be validly issued, fully paid and non-assessable.</w:t>
      </w:r>
    </w:p>
    <w:p>
      <w:pPr>
        <w:spacing w:after="0" w:line="180" w:lineRule="exact"/>
        <w:rPr>
          <w:sz w:val="20"/>
          <w:szCs w:val="20"/>
          <w:color w:val="auto"/>
        </w:rPr>
      </w:pPr>
    </w:p>
    <w:p>
      <w:pPr>
        <w:jc w:val="both"/>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opinion expressed herein is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the filing of this opinion letter as an exhibit to the Company’s Current Report on Form 8-K, incorporated by reference into the Registration Statements. No opinion is offered or implied as to any matter, and no inference may be drawn, beyond the strict scope of the specific issues expressly addressed by the opinion set forth herein.</w:t>
      </w:r>
    </w:p>
    <w:p>
      <w:pPr>
        <w:spacing w:after="0" w:line="183"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Company’s Current Report on Form 8-K, incorporated by reference into the Registration Statements. In giving this consent, we do not admit that we are within the category of persons whose consent is required under Section 7 of the Act or the rules and regulations of the Commission promulgated thereunder.</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Brownstein Hyatt Farber Schreck, LLP</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lvl w:ilvl="1">
      <w:lvlJc w:val="left"/>
      <w:lvlText w:val="(%2)"/>
      <w:numFmt w:val="lowerLetter"/>
      <w:start w:val="1"/>
    </w:lvl>
  </w:abstractNum>
  <w:abstractNum w:abstractNumId="3">
    <w:nsid w:val="721DA317"/>
    <w:multiLevelType w:val="hybridMultilevel"/>
    <w:lvl w:ilvl="0">
      <w:lvlJc w:val="left"/>
      <w:lvlText w:val="%1."/>
      <w:numFmt w:val="decimal"/>
      <w:start w:val="1"/>
    </w:lvl>
    <w:lvl w:ilvl="1">
      <w:lvlJc w:val="left"/>
      <w:lvlText w:val="%2"/>
      <w:numFmt w:val="lowerLetter"/>
      <w:start w:val="1"/>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1."/>
      <w:numFmt w:val="decimal"/>
      <w:start w:val="3"/>
    </w:lvl>
  </w:abstractNum>
  <w:abstractNum w:abstractNumId="6">
    <w:nsid w:val="6763845E"/>
    <w:multiLevelType w:val="hybridMultilevel"/>
    <w:lvl w:ilvl="0">
      <w:lvlJc w:val="left"/>
      <w:lvlText w:val="%1."/>
      <w:numFmt w:val="decimal"/>
      <w:start w:val="4"/>
    </w:lvl>
  </w:abstractNum>
  <w:abstractNum w:abstractNumId="7">
    <w:nsid w:val="75A2A8D4"/>
    <w:multiLevelType w:val="hybridMultilevel"/>
    <w:lvl w:ilvl="0">
      <w:lvlJc w:val="left"/>
      <w:lvlText w:val="%1."/>
      <w:numFmt w:val="decimal"/>
      <w:start w:val="5"/>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upperLetter"/>
      <w:start w:val="1"/>
    </w:lvl>
  </w:abstractNum>
  <w:abstractNum w:abstractNumId="10">
    <w:nsid w:val="4353D0CD"/>
    <w:multiLevelType w:val="hybridMultilevel"/>
    <w:lvl w:ilvl="0">
      <w:lvlJc w:val="left"/>
      <w:lvlText w:val="%1."/>
      <w:numFmt w:val="upperLetter"/>
      <w:start w:val="35"/>
    </w:lvl>
  </w:abstractNum>
  <w:abstractNum w:abstractNumId="11">
    <w:nsid w:val="B03E0C6"/>
    <w:multiLevelType w:val="hybridMultilevel"/>
    <w:lvl w:ilvl="0">
      <w:lvlJc w:val="left"/>
      <w:lvlText w:val="%1."/>
      <w:numFmt w:val="upperLetter"/>
      <w:start w:val="61"/>
    </w:lvl>
    <w:lvl w:ilvl="1">
      <w:lvlJc w:val="left"/>
      <w:lvlText w:val="(%2)"/>
      <w:numFmt w:val="lowerLetter"/>
      <w:start w:val="1"/>
    </w:lvl>
  </w:abstractNum>
  <w:abstractNum w:abstractNumId="12">
    <w:nsid w:val="189A769B"/>
    <w:multiLevelType w:val="hybridMultilevel"/>
    <w:lvl w:ilvl="0">
      <w:lvlJc w:val="left"/>
      <w:lvlText w:val="(%1)"/>
      <w:numFmt w:val="lowerLetter"/>
      <w:start w:val="2"/>
    </w:lvl>
    <w:lvl w:ilvl="1">
      <w:lvlJc w:val="left"/>
      <w:lvlText w:val="(%2)"/>
      <w:numFmt w:val="lowerRoman"/>
      <w:start w:val="1"/>
    </w:lvl>
  </w:abstractNum>
  <w:abstractNum w:abstractNumId="13">
    <w:nsid w:val="54E49EB4"/>
    <w:multiLevelType w:val="hybridMultilevel"/>
    <w:lvl w:ilvl="0">
      <w:lvlJc w:val="left"/>
      <w:lvlText w:val="(%1)"/>
      <w:numFmt w:val="lowerLetter"/>
      <w:start w:val="4"/>
    </w:lvl>
  </w:abstractNum>
  <w:abstractNum w:abstractNumId="14">
    <w:nsid w:val="71F32454"/>
    <w:multiLevelType w:val="hybridMultilevel"/>
    <w:lvl w:ilvl="0">
      <w:lvlJc w:val="left"/>
      <w:lvlText w:val="(%1)"/>
      <w:numFmt w:val="lowerLetter"/>
      <w:start w:val="6"/>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2"/>
    </w:lvl>
  </w:abstractNum>
  <w:abstractNum w:abstractNumId="17">
    <w:nsid w:val="2901D82"/>
    <w:multiLevelType w:val="hybridMultilevel"/>
    <w:lvl w:ilvl="0">
      <w:lvlJc w:val="left"/>
      <w:lvlText w:val="%1."/>
      <w:numFmt w:val="upperLetter"/>
      <w:start w:val="22"/>
    </w:lvl>
    <w:lvl w:ilvl="1">
      <w:lvlJc w:val="left"/>
      <w:lvlText w:val="(%2)"/>
      <w:numFmt w:val="lowerLetter"/>
      <w:start w:val="1"/>
    </w:lvl>
    <w:lvl w:ilvl="2">
      <w:lvlJc w:val="left"/>
      <w:lvlText w:val="(%3)"/>
      <w:numFmt w:val="lowerRoman"/>
      <w:start w:val="1"/>
    </w:lvl>
  </w:abstractNum>
  <w:abstractNum w:abstractNumId="18">
    <w:nsid w:val="3A95F874"/>
    <w:multiLevelType w:val="hybridMultilevel"/>
    <w:lvl w:ilvl="0">
      <w:lvlJc w:val="left"/>
      <w:lvlText w:val="%1."/>
      <w:numFmt w:val="upperLetter"/>
      <w:start w:val="2"/>
    </w:lvl>
  </w:abstractNum>
  <w:abstractNum w:abstractNumId="19">
    <w:nsid w:val="8138641"/>
    <w:multiLevelType w:val="hybridMultilevel"/>
    <w:lvl w:ilvl="0">
      <w:lvlJc w:val="left"/>
      <w:lvlText w:val="%1."/>
      <w:numFmt w:val="upperLetter"/>
      <w:start w:val="35"/>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upperLetter"/>
      <w:start w:val="1"/>
    </w:lvl>
    <w:lvl w:ilvl="1">
      <w:lvlJc w:val="left"/>
      <w:lvlText w:val="(%2)"/>
      <w:numFmt w:val="lowerLetter"/>
      <w:start w:val="7"/>
    </w:lvl>
  </w:abstractNum>
  <w:abstractNum w:abstractNumId="22">
    <w:nsid w:val="737B8DDC"/>
    <w:multiLevelType w:val="hybridMultilevel"/>
    <w:lvl w:ilvl="0">
      <w:lvlJc w:val="left"/>
      <w:lvlText w:val="%1."/>
      <w:numFmt w:val="upperLetter"/>
      <w:start w:val="61"/>
    </w:lvl>
    <w:lvl w:ilvl="1">
      <w:lvlJc w:val="left"/>
      <w:lvlText w:val="%2"/>
      <w:numFmt w:val="lowerLetter"/>
      <w:start w:val="1"/>
    </w:lvl>
  </w:abstractNum>
  <w:abstractNum w:abstractNumId="23">
    <w:nsid w:val="6CEAF087"/>
    <w:multiLevelType w:val="hybridMultilevel"/>
    <w:lvl w:ilvl="0">
      <w:lvlJc w:val="left"/>
      <w:lvlText w:val="%1."/>
      <w:numFmt w:val="upperLetter"/>
      <w:start w:val="22"/>
    </w:lvl>
  </w:abstractNum>
  <w:abstractNum w:abstractNumId="24">
    <w:nsid w:val="22221A70"/>
    <w:multiLevelType w:val="hybridMultilevel"/>
    <w:lvl w:ilvl="0">
      <w:lvlJc w:val="left"/>
      <w:lvlText w:val="%1."/>
      <w:numFmt w:val="upperLetter"/>
      <w:start w:val="1"/>
    </w:lvl>
  </w:abstractNum>
  <w:abstractNum w:abstractNumId="25">
    <w:nsid w:val="4516DDE9"/>
    <w:multiLevelType w:val="hybridMultilevel"/>
    <w:lvl w:ilvl="0">
      <w:lvlJc w:val="left"/>
      <w:lvlText w:val="%1."/>
      <w:numFmt w:val="upperLetter"/>
      <w:start w:val="2"/>
    </w:lvl>
  </w:abstractNum>
  <w:abstractNum w:abstractNumId="26">
    <w:nsid w:val="3006C83E"/>
    <w:multiLevelType w:val="hybridMultilevel"/>
    <w:lvl w:ilvl="0">
      <w:lvlJc w:val="left"/>
      <w:lvlText w:val="%1."/>
      <w:numFmt w:val="upperLetter"/>
      <w:start w:val="3"/>
    </w:lvl>
  </w:abstractNum>
  <w:abstractNum w:abstractNumId="27">
    <w:nsid w:val="614FD4A1"/>
    <w:multiLevelType w:val="hybridMultilevel"/>
    <w:lvl w:ilvl="0">
      <w:lvlJc w:val="left"/>
      <w:lvlText w:val="%1."/>
      <w:numFmt w:val="upperLetter"/>
      <w:start w:val="4"/>
    </w:lvl>
  </w:abstractNum>
  <w:abstractNum w:abstractNumId="28">
    <w:nsid w:val="419AC241"/>
    <w:multiLevelType w:val="hybridMultilevel"/>
    <w:lvl w:ilvl="0">
      <w:lvlJc w:val="left"/>
      <w:lvlText w:val="(%1)"/>
      <w:numFmt w:val="lowerRoman"/>
      <w:start w:val="3"/>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lowerRoman"/>
      <w:start w:val="1"/>
    </w:lvl>
    <w:lvl w:ilvl="1">
      <w:lvlJc w:val="left"/>
      <w:lvlText w:val="%2."/>
      <w:numFmt w:val="decimal"/>
      <w:start w:val="2"/>
    </w:lvl>
  </w:abstractNum>
  <w:abstractNum w:abstractNumId="31">
    <w:nsid w:val="5072367"/>
    <w:multiLevelType w:val="hybridMultilevel"/>
    <w:lvl w:ilvl="0">
      <w:lvlJc w:val="left"/>
      <w:lvlText w:val="(%1)"/>
      <w:numFmt w:val="lowerRoman"/>
      <w:start w:val="1"/>
    </w:lvl>
    <w:lvl w:ilvl="1">
      <w:lvlJc w:val="left"/>
      <w:lvlText w:val="%2"/>
      <w:numFmt w:val="decimal"/>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Roman"/>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4"/>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decimal"/>
      <w:start w:val="8"/>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2025-06-06T15:21:45Z</dcterms:created>
  <dcterms:modified xsi:type="dcterms:W3CDTF">2025-06-06T15:21:45Z</dcterms:modified>
</cp:coreProperties>
</file>