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26, 2026 (March 25, 2026)</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AMC Networks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584" w:type="dxa"/>
        <w:tblCellMar>
          <w:top w:w="0" w:type="dxa"/>
          <w:left w:w="0" w:type="dxa"/>
          <w:bottom w:w="0" w:type="dxa"/>
          <w:right w:w="0" w:type="dxa"/>
        </w:tblCellMar>
      </w:tblPr>
      <w:tr>
        <w:trPr>
          <w:trHeight w:val="214"/>
        </w:trPr>
        <w:tc>
          <w:tcPr>
            <w:tcW w:w="5880" w:type="dxa"/>
            <w:vAlign w:val="bottom"/>
          </w:tcPr>
          <w:p>
            <w:pPr>
              <w:jc w:val="center"/>
              <w:ind w:right="341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5880" w:type="dxa"/>
            <w:vAlign w:val="bottom"/>
          </w:tcPr>
          <w:p>
            <w:pPr>
              <w:jc w:val="center"/>
              <w:ind w:right="3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880" w:type="dxa"/>
            <w:vAlign w:val="bottom"/>
          </w:tcPr>
          <w:p>
            <w:pPr>
              <w:jc w:val="center"/>
              <w:ind w:right="33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5880" w:type="dxa"/>
            <w:vAlign w:val="bottom"/>
          </w:tcPr>
          <w:p>
            <w:pPr>
              <w:jc w:val="center"/>
              <w:ind w:right="3399"/>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1440" w:type="dxa"/>
            <w:vAlign w:val="bottom"/>
          </w:tcPr>
          <w:p>
            <w:pPr>
              <w:spacing w:after="0"/>
              <w:rPr>
                <w:sz w:val="24"/>
                <w:szCs w:val="24"/>
                <w:color w:val="auto"/>
              </w:rPr>
            </w:pPr>
          </w:p>
        </w:tc>
      </w:tr>
      <w:tr>
        <w:trPr>
          <w:trHeight w:val="227"/>
        </w:trPr>
        <w:tc>
          <w:tcPr>
            <w:tcW w:w="5880" w:type="dxa"/>
            <w:vAlign w:val="bottom"/>
          </w:tcPr>
          <w:p>
            <w:pPr>
              <w:jc w:val="center"/>
              <w:ind w:right="3399"/>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5880" w:type="dxa"/>
            <w:vAlign w:val="bottom"/>
          </w:tcPr>
          <w:p>
            <w:pPr>
              <w:jc w:val="center"/>
              <w:ind w:right="3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5880" w:type="dxa"/>
            <w:vAlign w:val="bottom"/>
          </w:tcPr>
          <w:p>
            <w:pPr>
              <w:jc w:val="right"/>
              <w:ind w:right="1319"/>
              <w:spacing w:after="0"/>
              <w:rPr>
                <w:sz w:val="20"/>
                <w:szCs w:val="20"/>
                <w:color w:val="auto"/>
              </w:rPr>
            </w:pPr>
            <w:r>
              <w:rPr>
                <w:rFonts w:ascii="Times New Roman" w:cs="Times New Roman" w:eastAsia="Times New Roman" w:hAnsi="Times New Roman"/>
                <w:sz w:val="18"/>
                <w:szCs w:val="18"/>
                <w:b w:val="1"/>
                <w:bCs w:val="1"/>
                <w:color w:val="auto"/>
              </w:rPr>
              <w:t>(212) 324-8500</w:t>
            </w:r>
          </w:p>
        </w:tc>
        <w:tc>
          <w:tcPr>
            <w:tcW w:w="1440" w:type="dxa"/>
            <w:vAlign w:val="bottom"/>
          </w:tcPr>
          <w:p>
            <w:pPr>
              <w:spacing w:after="0"/>
              <w:rPr>
                <w:sz w:val="24"/>
                <w:szCs w:val="24"/>
                <w:color w:val="auto"/>
              </w:rPr>
            </w:pPr>
          </w:p>
        </w:tc>
      </w:tr>
      <w:tr>
        <w:trPr>
          <w:trHeight w:val="190"/>
        </w:trPr>
        <w:tc>
          <w:tcPr>
            <w:tcW w:w="5880" w:type="dxa"/>
            <w:vAlign w:val="bottom"/>
          </w:tcPr>
          <w:p>
            <w:pPr>
              <w:jc w:val="center"/>
              <w:ind w:left="18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186055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As previously announced, on March 13, 2026, AMC Networks Inc. (“AMC Networks” or the “Company”) completed the early settlement of the exchange of approximately $830.6 million in aggregate principal amount (the “Early Tendered Notes”) of its 10.25% Senior Secured Notes due 2029 (the “Old Notes”) that were validly tendered on or before the early tender deadline of 5:00 p.m., New York City time, on March 6, 2026 (the “Early Tender Time”) in the Company’s previously announced offer to exchange (the “Exchange Offer”) any and all of its outstanding Old Notes for its newly-issued 10.50% Senior Secured Notes due 2032 (the “New Notes”).</w:t>
      </w:r>
    </w:p>
    <w:p>
      <w:pPr>
        <w:spacing w:after="0" w:line="183"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The Exchange Offer expired at 5:00 p.m., New York City time, on March 23, 2026 (the “Expiration Time”). As of the Expiration Time, an additional $30,693,000 in aggregate principal amount of Old Notes was validly tendered in the Exchange Offer following the Early Tender Time (the “Additional Tendered Notes”). On March 25, 2026 (the “Final Settlement Date”), in connection with the final settlement of the Exchange Offer, the Company issued approximately $31.1 million in aggregate principal amount of New Notes. All Additional Tendered Notes exchanged were cancelled. The Additional Tendered Notes and the Early Tendered Notes together represent 98.43% of the aggregate outstanding principal amount of Old Notes prior to the Exchange Offer. Following such cancellation, approximately $13.7 million in aggregate principal amount of Old Notes remains outstanding.</w:t>
      </w:r>
    </w:p>
    <w:p>
      <w:pPr>
        <w:spacing w:after="0" w:line="173"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New Notes are a further issuance of, and are in addition to, the 10.50% Senior Secured Notes due 2032 (the “Original 2032 Notes”) that the Company issued on July 3, 2025 in the aggregate principal amount of $400 million. The New Notes are fungible with the Original 2032 Notes and trade under the same CUSIP numbers as the Original 2032 Notes (except that New Notes issued pursuant to Regulation S will trade separately under a different CUSIP number until at least 40 days after the closing date and thereafter, subject to the terms of the New Notes Indenture (as defined below) and the applicable procedures of the depositary).</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New Notes will mature on July 15, 2032. The Company will pay interest on the New Notes at a rate of 10.50% per annum. Interest on the New Notes will accrue from January 15, 2026, the last interest payment date for the Original 2032 Notes and will be payable semi-annually in arrears on January 15 and July 15 of each year to the holders of record at the close of business on July 1 and January 1, whether or not a business day, prior to such interest payment date, provided that interest payable on the maturity date shall be payable to the person to whom principal shall be payable. The first interest payment date will be July 15, 2026.</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March 26, 2026, the Company issued a press release announcing that it has given notice of redemption of all of its remaining outstanding Old Notes, which following the final settlement of the Exchange Offer totaled approximately $13.7 million in aggregate principal amount. The Old Notes will be redeemed on April 6, 2026 at a redemption price equal to 105.125% of the principal amount thereof, plus accrued and unpaid interest to, but excluding, the redemption date. A copy of the press release is attached hereto as Exhibit 99.1 and incorporated herein by reference.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exhibits are filed as part of this Current Report on Form 8-K:</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3" w:lineRule="exact"/>
        <w:rPr>
          <w:sz w:val="20"/>
          <w:szCs w:val="20"/>
          <w:color w:val="auto"/>
        </w:rPr>
      </w:pPr>
    </w:p>
    <w:p>
      <w:pPr>
        <w:ind w:left="844" w:right="220" w:hanging="849"/>
        <w:spacing w:after="0" w:line="282" w:lineRule="auto"/>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AMC Networks Inc., dated March 26, 2026, titled “AMC Networks Announces Full Redemption of Outstanding 10.25% Senior Secured Notes due 2029”*</w:t>
      </w:r>
    </w:p>
    <w:p>
      <w:pPr>
        <w:spacing w:after="0" w:line="54" w:lineRule="exact"/>
        <w:rPr>
          <w:sz w:val="20"/>
          <w:szCs w:val="20"/>
          <w:color w:val="auto"/>
        </w:rPr>
      </w:pPr>
    </w:p>
    <w:p>
      <w:pPr>
        <w:ind w:left="4" w:right="3400" w:hanging="4"/>
        <w:spacing w:after="0" w:line="563" w:lineRule="auto"/>
        <w:tabs>
          <w:tab w:leader="none" w:pos="8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Current Report on Form 8-K, formatted in Inline XBRL. * Furnished herewith</w:t>
      </w:r>
    </w:p>
    <w:p>
      <w:pPr>
        <w:sectPr>
          <w:pgSz w:w="11900" w:h="16838" w:orient="portrait"/>
          <w:cols w:equalWidth="0" w:num="1">
            <w:col w:w="11004"/>
          </w:cols>
          <w:pgMar w:left="436"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Anne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Anne G. Kelly</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0320"/>
          </w:cols>
          <w:pgMar w:left="440" w:top="293"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173990</wp:posOffset>
            </wp:positionV>
            <wp:extent cx="217741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74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AMC Networks Announces Full Redemption of Outstanding 10.25% Senior Secured Notes due 2029</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NY (March 26, 2026) </w:t>
      </w:r>
      <w:r>
        <w:rPr>
          <w:rFonts w:ascii="Times New Roman" w:cs="Times New Roman" w:eastAsia="Times New Roman" w:hAnsi="Times New Roman"/>
          <w:sz w:val="18"/>
          <w:szCs w:val="18"/>
          <w:color w:val="auto"/>
        </w:rPr>
        <w:t>– AMC Networks Inc. (Nasdaq: AMCX) (“AMC Networks” or the “Company”) announced today that it has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redemption of all of its outstanding 10.25% Senior Secured Notes due 2029 (CUSIP Nos. 00164V AG8 (144A) / U02400 AB2 (Reg S)) (the “Notes”) on April 6, 2026 (the “Redemption Date”). The Notes will be redeemed at a redemption price of 105.125% of the principal amount of the Notes being redeemed plus accrued and unpaid interest to, but excluding, the Redemption Date (the “Redemption Price”).</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AMC Networks has instructed U.S. Bank Trust Company, National Association, as the trustee for the Notes (the “Trustee”), to distribute a notice of redemption to all registered holders of the Notes on March 26, 2026. Copies of the notice of redemption and additional information relating to the procedure for the redemption of the Notes may be obtained from U.S. Bank Trust Company, National Association by calling 1-(800)-934-6802.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AMC Networks Inc.</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AMC Networks (Nasdaq: AMCX) is home to many of the greatest stories and characters in TV and film and the premier destination for passionate and engaged fan communities around the world. The Company creates and curates celebrated series and films across distinct brands and makes them available to audiences everywhere. Its portfolio includes targeted streaming services AMC+, Acorn TV, Shudder, Sundance Now, ALLBLK, HIDIVE and All Reality; cable networks AMC, BBC AMERICA (which includes U.S. distribution and sales responsibilities for BBC News), IFC, SundanceTV and We TV; and film distribution labels Independent Film Company and RLJE Films. The Company also operates AMC Studios, its in-house studio, production and distribution operation behind acclaimed and fan-favorite original franchises including The Walking Dead Universe and the Anne Rice Immortal Universe; and AMC Networks International, its international programming business.</w:t>
      </w:r>
    </w:p>
    <w:p>
      <w:pPr>
        <w:spacing w:after="0" w:line="29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i w:val="1"/>
          <w:iCs w:val="1"/>
          <w:color w:val="auto"/>
        </w:rPr>
        <w:t>This press release may contain statements that constitute forward-looking statements within the meaning of the Private Securities Litigation Reform Act of 1995, including statements concerning the timing and terms of the redemption of the Notes. These statements are based on management’s current expectations and are subject to uncertainty and changes in circumstances. Investors are cautioned that any such forward-looking statements are not guarantees of future performance or results and involve risks and uncertainties and that actual results or developments may differ materially from those in the forward-looking statements as a result of various factors, including financial community and rating agency perceptions of the Company and its business, operations, financial condition and the industries in which it operates and the factors described in the Company’s filings with the Securities and Exchange Commission, including the sections titled “Risk Factors” and “Management’s Discussion and Analysis of Financial Condition and Results of Operations” contained therein. The Company disclaims any obligation to update any forward-looking statements contained herein.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Seibert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nicholas.seibert@amcnetworks.com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 Juvelis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georgia.juvelis@amcnetworks.com</w:t>
      </w:r>
    </w:p>
    <w:sectPr>
      <w:pgSz w:w="11900" w:h="16838" w:orient="portrait"/>
      <w:cols w:equalWidth="0" w:num="2">
        <w:col w:w="5020" w:space="720"/>
        <w:col w:w="5280"/>
      </w:cols>
      <w:pgMar w:left="440" w:top="11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2026-03-26T07:15:58Z</dcterms:created>
  <dcterms:modified xsi:type="dcterms:W3CDTF">2026-03-26T07:15:58Z</dcterms:modified>
</cp:coreProperties>
</file>