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95" w:lineRule="exact"/>
        <w:rPr>
          <w:sz w:val="24"/>
          <w:szCs w:val="24"/>
          <w:color w:val="auto"/>
        </w:rPr>
      </w:pPr>
    </w:p>
    <w:p>
      <w:pPr>
        <w:jc w:val="center"/>
        <w:ind w:right="40"/>
        <w:spacing w:after="0" w:line="263" w:lineRule="auto"/>
        <w:rPr>
          <w:sz w:val="20"/>
          <w:szCs w:val="20"/>
          <w:color w:val="auto"/>
        </w:rPr>
      </w:pPr>
      <w:r>
        <w:rPr>
          <w:rFonts w:ascii="Arial" w:cs="Arial" w:eastAsia="Arial" w:hAnsi="Arial"/>
          <w:sz w:val="18"/>
          <w:szCs w:val="18"/>
          <w:color w:val="auto"/>
        </w:rPr>
        <w:t>INFORMATION TO BE INCLUDED IN STATEMENTS FILED PURSUANT TO §240.13d-1(b), (c) AND (d) AND AMENDMENTS THERETO FILED PURSUANT TO §240.13d-2.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AMC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22860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00164V103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14605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680" w:hanging="8"/>
        <w:spacing w:after="0" w:line="227" w:lineRule="exact"/>
        <w:tabs>
          <w:tab w:leader="none" w:pos="55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(as amended, the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4300" w:type="dxa"/>
            <w:vAlign w:val="bottom"/>
            <w:tcBorders>
              <w:top w:val="single" w:sz="8" w:color="auto"/>
              <w:left w:val="single" w:sz="8" w:color="auto"/>
              <w:right w:val="single" w:sz="8" w:color="auto"/>
            </w:tcBorders>
            <w:gridSpan w:val="4"/>
          </w:tcPr>
          <w:p>
            <w:pPr>
              <w:ind w:left="128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00164V103</w:t>
            </w:r>
          </w:p>
        </w:tc>
        <w:tc>
          <w:tcPr>
            <w:tcW w:w="380" w:type="dxa"/>
            <w:vAlign w:val="bottom"/>
            <w:tcBorders>
              <w:top w:val="single" w:sz="8" w:color="auto"/>
            </w:tcBorders>
          </w:tcPr>
          <w:p>
            <w:pPr>
              <w:spacing w:after="0"/>
              <w:rPr>
                <w:sz w:val="21"/>
                <w:szCs w:val="21"/>
                <w:color w:val="auto"/>
              </w:rPr>
            </w:pPr>
          </w:p>
        </w:tc>
        <w:tc>
          <w:tcPr>
            <w:tcW w:w="31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tcBorders>
          </w:tcPr>
          <w:p>
            <w:pPr>
              <w:spacing w:after="0"/>
              <w:rPr>
                <w:sz w:val="21"/>
                <w:szCs w:val="21"/>
                <w:color w:val="auto"/>
              </w:rPr>
            </w:pPr>
          </w:p>
        </w:tc>
        <w:tc>
          <w:tcPr>
            <w:tcW w:w="27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2 of 7 pages</w:t>
            </w:r>
          </w:p>
        </w:tc>
        <w:tc>
          <w:tcPr>
            <w:tcW w:w="0" w:type="dxa"/>
            <w:vAlign w:val="bottom"/>
          </w:tcPr>
          <w:p>
            <w:pPr>
              <w:spacing w:after="0"/>
              <w:rPr>
                <w:sz w:val="1"/>
                <w:szCs w:val="1"/>
                <w:color w:val="auto"/>
              </w:rPr>
            </w:pPr>
          </w:p>
        </w:tc>
      </w:tr>
      <w:tr>
        <w:trPr>
          <w:trHeight w:val="157"/>
        </w:trPr>
        <w:tc>
          <w:tcPr>
            <w:tcW w:w="1520" w:type="dxa"/>
            <w:vAlign w:val="bottom"/>
            <w:tcBorders>
              <w:left w:val="single" w:sz="8" w:color="auto"/>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316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CONTRARIUS INVESTMENT MANAGEMENT LIMITED</w:t>
            </w: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spacing w:after="0"/>
              <w:rPr>
                <w:sz w:val="17"/>
                <w:szCs w:val="17"/>
                <w:color w:val="auto"/>
              </w:rPr>
            </w:pPr>
          </w:p>
        </w:tc>
        <w:tc>
          <w:tcPr>
            <w:tcW w:w="3160" w:type="dxa"/>
            <w:vAlign w:val="bottom"/>
            <w:tcBorders>
              <w:bottom w:val="single" w:sz="8" w:color="auto"/>
            </w:tcBorders>
            <w:gridSpan w:val="4"/>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31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6"/>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3160" w:type="dxa"/>
            <w:vAlign w:val="bottom"/>
            <w:gridSpan w:val="4"/>
          </w:tcPr>
          <w:p>
            <w:pPr>
              <w:ind w:left="80"/>
              <w:spacing w:after="0"/>
              <w:rPr>
                <w:sz w:val="20"/>
                <w:szCs w:val="20"/>
                <w:color w:val="auto"/>
              </w:rPr>
            </w:pPr>
            <w:r>
              <w:rPr>
                <w:rFonts w:ascii="Arial" w:cs="Arial" w:eastAsia="Arial" w:hAnsi="Arial"/>
                <w:sz w:val="18"/>
                <w:szCs w:val="18"/>
                <w:color w:val="auto"/>
              </w:rPr>
              <w:t>Jersey, Channel Islands</w:t>
            </w:r>
          </w:p>
        </w:tc>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spacing w:after="0"/>
              <w:rPr>
                <w:sz w:val="24"/>
                <w:szCs w:val="24"/>
                <w:color w:val="auto"/>
              </w:rPr>
            </w:pP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100" w:type="dxa"/>
            <w:vAlign w:val="bottom"/>
          </w:tcPr>
          <w:p>
            <w:pPr>
              <w:jc w:val="right"/>
              <w:ind w:right="2934"/>
              <w:spacing w:after="0"/>
              <w:rPr>
                <w:sz w:val="20"/>
                <w:szCs w:val="20"/>
                <w:color w:val="auto"/>
              </w:rPr>
            </w:pPr>
            <w:r>
              <w:rPr>
                <w:rFonts w:ascii="Arial" w:cs="Arial" w:eastAsia="Arial" w:hAnsi="Arial"/>
                <w:sz w:val="15"/>
                <w:szCs w:val="15"/>
                <w:color w:val="auto"/>
                <w:w w:val="71"/>
              </w:rPr>
              <w:t>0</w:t>
            </w: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NUMBERS OF</w:t>
            </w: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520" w:type="dxa"/>
            <w:vAlign w:val="bottom"/>
            <w:tcBorders>
              <w:left w:val="single" w:sz="8" w:color="auto"/>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18"/>
                <w:szCs w:val="18"/>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3100" w:type="dxa"/>
            <w:vAlign w:val="bottom"/>
            <w:vMerge w:val="restart"/>
          </w:tcPr>
          <w:p>
            <w:pPr>
              <w:ind w:left="180"/>
              <w:spacing w:after="0"/>
              <w:rPr>
                <w:sz w:val="20"/>
                <w:szCs w:val="20"/>
                <w:color w:val="auto"/>
              </w:rPr>
            </w:pPr>
            <w:r>
              <w:rPr>
                <w:rFonts w:ascii="Arial" w:cs="Arial" w:eastAsia="Arial" w:hAnsi="Arial"/>
                <w:sz w:val="18"/>
                <w:szCs w:val="18"/>
                <w:color w:val="auto"/>
              </w:rPr>
              <w:t>55,666</w:t>
            </w:r>
          </w:p>
        </w:tc>
        <w:tc>
          <w:tcPr>
            <w:tcW w:w="72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2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8"/>
                <w:szCs w:val="18"/>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100" w:type="dxa"/>
            <w:vAlign w:val="bottom"/>
            <w:vMerge w:val="restart"/>
          </w:tcPr>
          <w:p>
            <w:pPr>
              <w:jc w:val="right"/>
              <w:ind w:right="2934"/>
              <w:spacing w:after="0"/>
              <w:rPr>
                <w:sz w:val="20"/>
                <w:szCs w:val="20"/>
                <w:color w:val="auto"/>
              </w:rPr>
            </w:pPr>
            <w:r>
              <w:rPr>
                <w:rFonts w:ascii="Arial" w:cs="Arial" w:eastAsia="Arial" w:hAnsi="Arial"/>
                <w:sz w:val="15"/>
                <w:szCs w:val="15"/>
                <w:color w:val="auto"/>
                <w:w w:val="71"/>
              </w:rPr>
              <w:t>0</w:t>
            </w:r>
          </w:p>
        </w:tc>
        <w:tc>
          <w:tcPr>
            <w:tcW w:w="72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31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52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PERSON WITH:</w:t>
            </w:r>
          </w:p>
        </w:tc>
        <w:tc>
          <w:tcPr>
            <w:tcW w:w="54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2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6"/>
                <w:szCs w:val="6"/>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SHARED DISPOSITIVE POWER</w:t>
            </w:r>
          </w:p>
        </w:tc>
        <w:tc>
          <w:tcPr>
            <w:tcW w:w="3100" w:type="dxa"/>
            <w:vAlign w:val="bottom"/>
            <w:vMerge w:val="restart"/>
          </w:tcPr>
          <w:p>
            <w:pPr>
              <w:jc w:val="right"/>
              <w:ind w:right="2214"/>
              <w:spacing w:after="0"/>
              <w:rPr>
                <w:sz w:val="20"/>
                <w:szCs w:val="20"/>
                <w:color w:val="auto"/>
              </w:rPr>
            </w:pPr>
            <w:r>
              <w:rPr>
                <w:rFonts w:ascii="Arial" w:cs="Arial" w:eastAsia="Arial" w:hAnsi="Arial"/>
                <w:sz w:val="18"/>
                <w:szCs w:val="18"/>
                <w:color w:val="auto"/>
              </w:rPr>
              <w:t>55,666</w:t>
            </w:r>
          </w:p>
        </w:tc>
        <w:tc>
          <w:tcPr>
            <w:tcW w:w="72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1520" w:type="dxa"/>
            <w:vAlign w:val="bottom"/>
            <w:tcBorders>
              <w:left w:val="single" w:sz="8" w:color="auto"/>
              <w:right w:val="single" w:sz="8" w:color="auto"/>
            </w:tcBorders>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440" w:type="dxa"/>
            <w:vAlign w:val="bottom"/>
            <w:tcBorders>
              <w:bottom w:val="single" w:sz="8" w:color="auto"/>
            </w:tcBorders>
            <w:gridSpan w:val="5"/>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55,666</w:t>
            </w: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72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63"/>
        </w:trPr>
        <w:tc>
          <w:tcPr>
            <w:tcW w:w="1520" w:type="dxa"/>
            <w:vAlign w:val="bottom"/>
            <w:tcBorders>
              <w:left w:val="single" w:sz="8" w:color="auto"/>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2"/>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FI</w:t>
            </w: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914"/>
              <w:spacing w:after="0"/>
              <w:rPr>
                <w:sz w:val="20"/>
                <w:szCs w:val="20"/>
                <w:color w:val="auto"/>
              </w:rPr>
            </w:pPr>
            <w:r>
              <w:rPr>
                <w:rFonts w:ascii="Arial" w:cs="Arial" w:eastAsia="Arial" w:hAnsi="Arial"/>
                <w:sz w:val="18"/>
                <w:szCs w:val="18"/>
                <w:color w:val="auto"/>
              </w:rPr>
              <w:t>- 2 -</w:t>
            </w: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300" w:type="dxa"/>
            <w:vAlign w:val="bottom"/>
            <w:tcBorders>
              <w:top w:val="single" w:sz="8" w:color="auto"/>
              <w:left w:val="single" w:sz="8" w:color="auto"/>
              <w:right w:val="single" w:sz="8" w:color="auto"/>
            </w:tcBorders>
            <w:gridSpan w:val="4"/>
          </w:tcPr>
          <w:p>
            <w:pPr>
              <w:ind w:left="128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00164V103</w:t>
            </w:r>
          </w:p>
        </w:tc>
        <w:tc>
          <w:tcPr>
            <w:tcW w:w="380" w:type="dxa"/>
            <w:vAlign w:val="bottom"/>
            <w:tcBorders>
              <w:top w:val="single" w:sz="8" w:color="auto"/>
            </w:tcBorders>
          </w:tcPr>
          <w:p>
            <w:pPr>
              <w:spacing w:after="0"/>
              <w:rPr>
                <w:sz w:val="21"/>
                <w:szCs w:val="21"/>
                <w:color w:val="auto"/>
              </w:rPr>
            </w:pPr>
          </w:p>
        </w:tc>
        <w:tc>
          <w:tcPr>
            <w:tcW w:w="31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13G</w:t>
            </w:r>
          </w:p>
        </w:tc>
        <w:tc>
          <w:tcPr>
            <w:tcW w:w="720" w:type="dxa"/>
            <w:vAlign w:val="bottom"/>
            <w:tcBorders>
              <w:top w:val="single" w:sz="8" w:color="auto"/>
            </w:tcBorders>
          </w:tcPr>
          <w:p>
            <w:pPr>
              <w:spacing w:after="0"/>
              <w:rPr>
                <w:sz w:val="21"/>
                <w:szCs w:val="21"/>
                <w:color w:val="auto"/>
              </w:rPr>
            </w:pPr>
          </w:p>
        </w:tc>
        <w:tc>
          <w:tcPr>
            <w:tcW w:w="27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3 of 7 pages</w:t>
            </w:r>
          </w:p>
        </w:tc>
        <w:tc>
          <w:tcPr>
            <w:tcW w:w="0" w:type="dxa"/>
            <w:vAlign w:val="bottom"/>
          </w:tcPr>
          <w:p>
            <w:pPr>
              <w:spacing w:after="0"/>
              <w:rPr>
                <w:sz w:val="1"/>
                <w:szCs w:val="1"/>
                <w:color w:val="auto"/>
              </w:rPr>
            </w:pPr>
          </w:p>
        </w:tc>
      </w:tr>
      <w:tr>
        <w:trPr>
          <w:trHeight w:val="157"/>
        </w:trPr>
        <w:tc>
          <w:tcPr>
            <w:tcW w:w="1520" w:type="dxa"/>
            <w:vAlign w:val="bottom"/>
            <w:tcBorders>
              <w:left w:val="single" w:sz="8" w:color="auto"/>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10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316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CONTRARIUS INVESTMENT MANAGEMENT (BERMUDA) LIMITED</w:t>
            </w: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20" w:type="dxa"/>
            <w:vAlign w:val="bottom"/>
            <w:tcBorders>
              <w:left w:val="single" w:sz="8" w:color="auto"/>
              <w:bottom w:val="single" w:sz="8" w:color="auto"/>
              <w:right w:val="single" w:sz="8" w:color="auto"/>
            </w:tcBorders>
          </w:tcPr>
          <w:p>
            <w:pPr>
              <w:spacing w:after="0"/>
              <w:rPr>
                <w:sz w:val="17"/>
                <w:szCs w:val="17"/>
                <w:color w:val="auto"/>
              </w:rPr>
            </w:pPr>
          </w:p>
        </w:tc>
        <w:tc>
          <w:tcPr>
            <w:tcW w:w="3160" w:type="dxa"/>
            <w:vAlign w:val="bottom"/>
            <w:tcBorders>
              <w:bottom w:val="single" w:sz="8" w:color="auto"/>
            </w:tcBorders>
            <w:gridSpan w:val="4"/>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31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6"/>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3160" w:type="dxa"/>
            <w:vAlign w:val="bottom"/>
            <w:gridSpan w:val="4"/>
          </w:tcPr>
          <w:p>
            <w:pPr>
              <w:ind w:left="80"/>
              <w:spacing w:after="0"/>
              <w:rPr>
                <w:sz w:val="20"/>
                <w:szCs w:val="20"/>
                <w:color w:val="auto"/>
              </w:rPr>
            </w:pPr>
            <w:r>
              <w:rPr>
                <w:rFonts w:ascii="Arial" w:cs="Arial" w:eastAsia="Arial" w:hAnsi="Arial"/>
                <w:sz w:val="18"/>
                <w:szCs w:val="18"/>
                <w:color w:val="auto"/>
              </w:rPr>
              <w:t>Bermuda</w:t>
            </w:r>
          </w:p>
        </w:tc>
        <w:tc>
          <w:tcPr>
            <w:tcW w:w="3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spacing w:after="0"/>
              <w:rPr>
                <w:sz w:val="24"/>
                <w:szCs w:val="24"/>
                <w:color w:val="auto"/>
              </w:rPr>
            </w:pPr>
          </w:p>
        </w:tc>
        <w:tc>
          <w:tcPr>
            <w:tcW w:w="5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100" w:type="dxa"/>
            <w:vAlign w:val="bottom"/>
          </w:tcPr>
          <w:p>
            <w:pPr>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NUMBERS OF</w:t>
            </w:r>
          </w:p>
        </w:tc>
        <w:tc>
          <w:tcPr>
            <w:tcW w:w="5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520" w:type="dxa"/>
            <w:vAlign w:val="bottom"/>
            <w:tcBorders>
              <w:left w:val="single" w:sz="8" w:color="auto"/>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18"/>
                <w:szCs w:val="18"/>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3100" w:type="dxa"/>
            <w:vAlign w:val="bottom"/>
            <w:vMerge w:val="restart"/>
          </w:tcPr>
          <w:p>
            <w:pPr>
              <w:ind w:left="180"/>
              <w:spacing w:after="0"/>
              <w:rPr>
                <w:sz w:val="20"/>
                <w:szCs w:val="20"/>
                <w:color w:val="auto"/>
              </w:rPr>
            </w:pPr>
            <w:r>
              <w:rPr>
                <w:rFonts w:ascii="Arial" w:cs="Arial" w:eastAsia="Arial" w:hAnsi="Arial"/>
                <w:sz w:val="18"/>
                <w:szCs w:val="18"/>
                <w:color w:val="auto"/>
              </w:rPr>
              <w:t>55,666</w:t>
            </w:r>
          </w:p>
        </w:tc>
        <w:tc>
          <w:tcPr>
            <w:tcW w:w="72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vMerge w:val="continue"/>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7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2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8"/>
                <w:szCs w:val="18"/>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31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52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PERSON WITH:</w:t>
            </w:r>
          </w:p>
        </w:tc>
        <w:tc>
          <w:tcPr>
            <w:tcW w:w="54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2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6"/>
                <w:szCs w:val="6"/>
                <w:color w:val="auto"/>
              </w:rPr>
            </w:pPr>
          </w:p>
        </w:tc>
        <w:tc>
          <w:tcPr>
            <w:tcW w:w="256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SHARED DISPOSITIVE POWER</w:t>
            </w:r>
          </w:p>
        </w:tc>
        <w:tc>
          <w:tcPr>
            <w:tcW w:w="3100" w:type="dxa"/>
            <w:vAlign w:val="bottom"/>
            <w:vMerge w:val="restart"/>
          </w:tcPr>
          <w:p>
            <w:pPr>
              <w:ind w:left="300"/>
              <w:spacing w:after="0"/>
              <w:rPr>
                <w:sz w:val="20"/>
                <w:szCs w:val="20"/>
                <w:color w:val="auto"/>
              </w:rPr>
            </w:pPr>
            <w:r>
              <w:rPr>
                <w:rFonts w:ascii="Arial" w:cs="Arial" w:eastAsia="Arial" w:hAnsi="Arial"/>
                <w:sz w:val="18"/>
                <w:szCs w:val="18"/>
                <w:color w:val="auto"/>
              </w:rPr>
              <w:t>55,666</w:t>
            </w:r>
          </w:p>
        </w:tc>
        <w:tc>
          <w:tcPr>
            <w:tcW w:w="720" w:type="dxa"/>
            <w:vAlign w:val="bottom"/>
          </w:tcPr>
          <w:p>
            <w:pPr>
              <w:spacing w:after="0"/>
              <w:rPr>
                <w:sz w:val="6"/>
                <w:szCs w:val="6"/>
                <w:color w:val="auto"/>
              </w:rPr>
            </w:pPr>
          </w:p>
        </w:tc>
        <w:tc>
          <w:tcPr>
            <w:tcW w:w="2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1520" w:type="dxa"/>
            <w:vAlign w:val="bottom"/>
            <w:tcBorders>
              <w:left w:val="single" w:sz="8" w:color="auto"/>
              <w:right w:val="single" w:sz="8" w:color="auto"/>
            </w:tcBorders>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440" w:type="dxa"/>
            <w:vAlign w:val="bottom"/>
            <w:tcBorders>
              <w:bottom w:val="single" w:sz="8" w:color="auto"/>
            </w:tcBorders>
            <w:gridSpan w:val="5"/>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55,666</w:t>
            </w: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72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63"/>
        </w:trPr>
        <w:tc>
          <w:tcPr>
            <w:tcW w:w="1520" w:type="dxa"/>
            <w:vAlign w:val="bottom"/>
            <w:tcBorders>
              <w:left w:val="single" w:sz="8" w:color="auto"/>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2"/>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6980" w:type="dxa"/>
            <w:vAlign w:val="bottom"/>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FI</w:t>
            </w: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- 3 -</w:t>
            </w:r>
          </w:p>
        </w:tc>
        <w:tc>
          <w:tcPr>
            <w:tcW w:w="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 Penn Plaza, New York, NY 10001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Contrarius Investment Management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Contrarius Investment Management (Bermuda) Limited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Contrarius Investment Management Limited - 2 Bond Street, St. Helier, Jersey JE2 3NP, Channel Islands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Contrarius Investment Management (Bermuda) Limited – Waterloo House, 100 Pitts Bay Road, Pembroke HM 08 Bermuda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Contrarius Investment Management Limited is a company organized under the laws of Jersey, Channel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Contrarius Investment Management (Bermuda) Limited is a company organized under the laws of Bermuda.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00164V103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19" w:lineRule="exact"/>
        <w:rPr>
          <w:sz w:val="20"/>
          <w:szCs w:val="20"/>
          <w:color w:val="auto"/>
        </w:rPr>
      </w:pPr>
    </w:p>
    <w:p>
      <w:pPr>
        <w:ind w:left="980" w:hanging="324"/>
        <w:spacing w:after="0" w:line="207" w:lineRule="exact"/>
        <w:tabs>
          <w:tab w:leader="none" w:pos="9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980" w:hanging="324"/>
        <w:spacing w:after="0" w:line="184" w:lineRule="exact"/>
        <w:tabs>
          <w:tab w:leader="none" w:pos="98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88" w:lineRule="exact"/>
        <w:rPr>
          <w:rFonts w:ascii="Arial" w:cs="Arial" w:eastAsia="Arial" w:hAnsi="Arial"/>
          <w:sz w:val="16"/>
          <w:szCs w:val="16"/>
          <w:color w:val="auto"/>
        </w:rPr>
      </w:pPr>
    </w:p>
    <w:p>
      <w:pPr>
        <w:ind w:left="5580" w:hanging="106"/>
        <w:spacing w:after="0"/>
        <w:tabs>
          <w:tab w:leader="none" w:pos="5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4" w:name="page5"/>
    <w:bookmarkEnd w:id="4"/>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 (b) of the Federal Deposit Insurance Act (12 U.S.C. 1813).</w:t>
      </w:r>
    </w:p>
    <w:p>
      <w:pPr>
        <w:spacing w:after="0" w:line="225" w:lineRule="exact"/>
        <w:rPr>
          <w:rFonts w:ascii="Arial" w:cs="Arial" w:eastAsia="Arial" w:hAnsi="Arial"/>
          <w:sz w:val="18"/>
          <w:szCs w:val="18"/>
          <w:color w:val="auto"/>
        </w:rPr>
      </w:pPr>
    </w:p>
    <w:p>
      <w:pPr>
        <w:ind w:left="1300" w:right="180" w:hanging="644"/>
        <w:spacing w:after="0" w:line="239" w:lineRule="exact"/>
        <w:tabs>
          <w:tab w:leader="none" w:pos="976"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 Equivalent to 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55,666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w w:val="97"/>
              </w:rPr>
              <w:t>(i)  Sole power to vote or to direct the vote:</w:t>
            </w: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620" w:hanging="3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55,666</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55,666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Contrarius Investment Management Limited and Contrarius Investment Management (Bermuda) Limited are together making this filing because they may be deemed to constitute a “group” for the purposes of section 13(d)(3) of the Act.</w:t>
      </w:r>
    </w:p>
    <w:p>
      <w:pPr>
        <w:spacing w:after="0" w:line="166" w:lineRule="exact"/>
        <w:rPr>
          <w:sz w:val="20"/>
          <w:szCs w:val="20"/>
          <w:color w:val="auto"/>
        </w:rPr>
      </w:pPr>
    </w:p>
    <w:p>
      <w:pPr>
        <w:jc w:val="center"/>
        <w:ind w:right="826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foreign regulatory scheme applicable to Contrarius Investment Management Limited and Contrarius Investment Management (Bermuda) Limited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7 February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CONTRARIUS INVESTMENT MANAGEMENT LIMITED</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Thomas Daniel Perkins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Thomas Daniel Perkins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7 February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CONTRARIUS INVESTMENT MANAGEMENT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(BERMUDA) LIMITED</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Matt De Kock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Matt De Kock</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Director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
      <w:numFmt w:val="bullet"/>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2023-02-07T16:16:52Z</dcterms:created>
  <dcterms:modified xsi:type="dcterms:W3CDTF">2023-02-07T16:16:52Z</dcterms:modified>
</cp:coreProperties>
</file>