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8, 2025</w:t>
      </w:r>
    </w:p>
    <w:p>
      <w:pPr>
        <w:spacing w:after="0" w:line="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________________________</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AMC Networks Inc.</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________________________</w:t>
      </w:r>
    </w:p>
    <w:p>
      <w:pPr>
        <w:sectPr>
          <w:pgSz w:w="11900" w:h="16838" w:orient="portrait"/>
          <w:cols w:equalWidth="0" w:num="1">
            <w:col w:w="11180"/>
          </w:cols>
          <w:pgMar w:left="320" w:top="880" w:right="399" w:bottom="1440" w:gutter="0" w:footer="0" w:header="0"/>
        </w:sectPr>
      </w:pPr>
    </w:p>
    <w:p>
      <w:pPr>
        <w:spacing w:after="0" w:line="16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27-5403694</w:t>
      </w:r>
    </w:p>
    <w:p>
      <w:pPr>
        <w:spacing w:after="0" w:line="29" w:lineRule="exact"/>
        <w:rPr>
          <w:sz w:val="24"/>
          <w:szCs w:val="24"/>
          <w:color w:val="auto"/>
        </w:rPr>
      </w:pPr>
    </w:p>
    <w:p>
      <w:pPr>
        <w:sectPr>
          <w:pgSz w:w="11900" w:h="16838" w:orient="portrait"/>
          <w:cols w:equalWidth="0" w:num="2">
            <w:col w:w="7360" w:space="720"/>
            <w:col w:w="3100"/>
          </w:cols>
          <w:pgMar w:left="320" w:top="880" w:right="39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4" w:lineRule="exact"/>
        <w:rPr>
          <w:sz w:val="24"/>
          <w:szCs w:val="24"/>
          <w:color w:val="auto"/>
        </w:rPr>
      </w:pPr>
    </w:p>
    <w:p>
      <w:pPr>
        <w:sectPr>
          <w:pgSz w:w="11900" w:h="16838" w:orient="portrait"/>
          <w:cols w:equalWidth="0" w:num="2">
            <w:col w:w="7220" w:space="720"/>
            <w:col w:w="3240"/>
          </w:cols>
          <w:pgMar w:left="320" w:top="880"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11 Penn Plaza</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p>
      <w:pPr>
        <w:sectPr>
          <w:pgSz w:w="11900" w:h="16838" w:orient="portrait"/>
          <w:cols w:equalWidth="0" w:num="1">
            <w:col w:w="11180"/>
          </w:cols>
          <w:pgMar w:left="320" w:top="880" w:right="399" w:bottom="1440" w:gutter="0" w:footer="0" w:header="0"/>
          <w:type w:val="continuous"/>
        </w:sectPr>
      </w:pPr>
    </w:p>
    <w:p>
      <w:pPr>
        <w:spacing w:after="0" w:line="3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AMC Networks Inc. Amended and Restated 2016 Employee Stock Plan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9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Salvatore Romanello</w:t>
      </w:r>
    </w:p>
    <w:p>
      <w:pPr>
        <w:spacing w:after="0" w:line="2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Executive Vice President and General Counsel</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11 Penn Plaza</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New York, New York 10001</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(212) 324-8500</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9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Robert W. Downes, Esq.</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125 Broad Street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New York, New York 10004-2498</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10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u w:val="single" w:color="auto"/>
          <w:color w:val="auto"/>
        </w:rPr>
        <w:t>______________________</w:t>
      </w:r>
    </w:p>
    <w:p>
      <w:pPr>
        <w:spacing w:after="0" w:line="122" w:lineRule="exact"/>
        <w:rPr>
          <w:sz w:val="24"/>
          <w:szCs w:val="24"/>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Accelerated filer</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5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90"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180"/>
          </w:cols>
          <w:pgMar w:left="320" w:top="880" w:right="3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is filed by AMC Networks Inc. (the “Registrant,” “we” or “us”), to register 5,000,000 additional shares of the Registrant’s Class A Common Stock, par value $0.01 per share (“Class A Common Stock”), issuable under the AMC Networks Inc. Amended and Restated 2016 Employee Stock Plan (“2016 Employee Plan”).</w:t>
      </w:r>
    </w:p>
    <w:p>
      <w:pPr>
        <w:spacing w:after="0" w:line="13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contents of the Registration Statement on Form S-8 (File No. 333-282832), filed by the Registrant with the Securities and Exchange Commission (the “SEC”) on October 25, 2024, registering shares of its Class A Common Stock issuable under the AMC Networks Inc. Amended and Restated 2011 Stock Plan for Non-Employee Directors are hereby incorporated by reference except to the extent supplemented, amended, or superseded by the information set forth therein or herein.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of Form S-8 (plan information and registrant information and other information) will be sent or given to participants in the 2016 Employee Plan as specified by Rule 428(b)(1) of the Securities Act of 1933, as amended (the “Securities Act”). Such documents need not be filed with the SEC either as part of this Registration Statement or as prospectuses or prospectus supplements pursuant to Rule</w:t>
      </w:r>
    </w:p>
    <w:p>
      <w:pPr>
        <w:spacing w:after="0" w:line="1" w:lineRule="exact"/>
        <w:rPr>
          <w:sz w:val="20"/>
          <w:szCs w:val="20"/>
          <w:color w:val="auto"/>
        </w:rPr>
      </w:pPr>
    </w:p>
    <w:p>
      <w:pPr>
        <w:ind w:right="380" w:firstLine="8"/>
        <w:spacing w:after="0" w:line="260"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documents and the documents incorporated by reference in this Registration Statement pursuant to Item 3 of Part II of this Form S-8, taken together, constitute a prospectus that meets the requirements of Section 10(a) of the Securities Act.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All information required in the Registration Statement (other than the exhibits and the signature page) is set forth in the Registration Statement on Form S-8 (File No. 333-282832), as described above, and is incorporated herein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 are incorporated by reference into this Registration Statement:</w:t>
      </w:r>
    </w:p>
    <w:p>
      <w:pPr>
        <w:spacing w:after="0" w:line="18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2024, filed with the SEC on </w:t>
      </w:r>
      <w:hyperlink r:id="rId9">
        <w:r>
          <w:rPr>
            <w:rFonts w:ascii="Times New Roman" w:cs="Times New Roman" w:eastAsia="Times New Roman" w:hAnsi="Times New Roman"/>
            <w:sz w:val="18"/>
            <w:szCs w:val="18"/>
            <w:u w:val="single" w:color="auto"/>
            <w:color w:val="0000FF"/>
          </w:rPr>
          <w:t>February 14,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
        </w:numPr>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auto"/>
          </w:rPr>
          <w:t xml:space="preserve">The Registrant’s Quarterly Reports on Form 10-Q for the fiscal quarters ended March 31, 2025 and June 30, 2025, filed with the SEC on </w:t>
        </w:r>
        <w:r>
          <w:rPr>
            <w:rFonts w:ascii="Times New Roman" w:cs="Times New Roman" w:eastAsia="Times New Roman" w:hAnsi="Times New Roman"/>
            <w:sz w:val="18"/>
            <w:szCs w:val="18"/>
            <w:u w:val="single" w:color="auto"/>
            <w:color w:val="0000FF"/>
          </w:rPr>
          <w:t>May 9,</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1">
        <w:r>
          <w:rPr>
            <w:rFonts w:ascii="Times New Roman" w:cs="Times New Roman" w:eastAsia="Times New Roman" w:hAnsi="Times New Roman"/>
            <w:sz w:val="18"/>
            <w:szCs w:val="18"/>
            <w:u w:val="single" w:color="auto"/>
            <w:color w:val="0000FF"/>
          </w:rPr>
          <w:t>August 8, 2025</w:t>
        </w:r>
      </w:hyperlink>
      <w:hyperlink r:id="rId10">
        <w:r>
          <w:rPr>
            <w:rFonts w:ascii="Times New Roman" w:cs="Times New Roman" w:eastAsia="Times New Roman" w:hAnsi="Times New Roman"/>
            <w:sz w:val="18"/>
            <w:szCs w:val="18"/>
            <w:color w:val="000000"/>
          </w:rPr>
          <w:t>, respectively; and</w:t>
        </w:r>
      </w:hyperlink>
    </w:p>
    <w:p>
      <w:pPr>
        <w:spacing w:after="0" w:line="161" w:lineRule="exact"/>
        <w:rPr>
          <w:rFonts w:ascii="Times New Roman" w:cs="Times New Roman" w:eastAsia="Times New Roman" w:hAnsi="Times New Roman"/>
          <w:sz w:val="18"/>
          <w:szCs w:val="18"/>
          <w:color w:val="0000FF"/>
        </w:rPr>
      </w:pPr>
    </w:p>
    <w:p>
      <w:pPr>
        <w:ind w:left="660" w:right="260" w:hanging="328"/>
        <w:spacing w:after="0" w:line="282" w:lineRule="auto"/>
        <w:tabs>
          <w:tab w:leader="none" w:pos="660" w:val="left"/>
        </w:tabs>
        <w:numPr>
          <w:ilvl w:val="0"/>
          <w:numId w:val="2"/>
        </w:numPr>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FF"/>
          </w:rPr>
          <w:t>June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5,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August 15,</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Securities Exchange Act of 1934, as amended (the “Exchange Act”), prior to the filing of a post-effective amendment to this Registration Statement that indicates that all of the shares of Class A Common Stock offered have been sold or that deregisters all of such shares then remaining unsold, shall be deemed to be incorporated by reference into this Registration Statement and to be a part hereof from the date of the filing of such reports and documents. Unless expressly incorporated into this Registration Statement, a report furnished but not filed on Form 8-K shall not be incorporated by reference into this Registration Statement.</w:t>
      </w:r>
    </w:p>
    <w:p>
      <w:pPr>
        <w:spacing w:after="0" w:line="75" w:lineRule="exact"/>
        <w:rPr>
          <w:rFonts w:ascii="Times New Roman" w:cs="Times New Roman" w:eastAsia="Times New Roman" w:hAnsi="Times New Roman"/>
          <w:sz w:val="18"/>
          <w:szCs w:val="18"/>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capital stock of AMC Networks Inc. (the “Company,” “we,” “us,” and “our”) is not complete and may not contain all the information you should consider before investing in our capital stock. This description is summarized from, and qualified in its entirety by reference to, our articles of incorporation and bylaws, which have been publicly filed with the Securities</w:t>
      </w:r>
    </w:p>
    <w:p>
      <w:pPr>
        <w:sectPr>
          <w:pgSz w:w="11900" w:h="16838" w:orient="portrait"/>
          <w:cols w:equalWidth="0" w:num="1">
            <w:col w:w="11240"/>
          </w:cols>
          <w:pgMar w:left="320" w:top="765" w:right="339" w:bottom="1440" w:gutter="0" w:footer="0" w:header="0"/>
        </w:sectPr>
      </w:pPr>
    </w:p>
    <w:bookmarkStart w:id="2" w:name="page3"/>
    <w:bookmarkEnd w:id="2"/>
    <w:p>
      <w:pPr>
        <w:ind w:right="40"/>
        <w:spacing w:after="0" w:line="282" w:lineRule="auto"/>
        <w:rPr>
          <w:sz w:val="20"/>
          <w:szCs w:val="20"/>
          <w:color w:val="auto"/>
        </w:rPr>
      </w:pPr>
      <w:r>
        <w:rPr>
          <w:rFonts w:ascii="Times New Roman" w:cs="Times New Roman" w:eastAsia="Times New Roman" w:hAnsi="Times New Roman"/>
          <w:sz w:val="18"/>
          <w:szCs w:val="18"/>
          <w:color w:val="auto"/>
        </w:rPr>
        <w:t>and Exchange Commission (“SEC”). The terms of these securities may also be affected by the Nevada Revised Statutes (as amended from time to time, the “NRS”).</w:t>
      </w:r>
    </w:p>
    <w:p>
      <w:pPr>
        <w:spacing w:after="0" w:line="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authorized to issue 495,000,000 shares of capital stock, of which 360,000,000 shares are designated Class A common stock, par value $.01 per share (the “Class A Common Stock”), 90,000,000 shares are designated Class B common stock, par value $.01 per share (the “Class B Common Stock” and, together with the Class A Common Stock, the “Common Stock”), and 45,000,000 shares are designated preferred stock, par value $.01 per share (the “Preferred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shares of our Common Stock currently outstanding are fully paid and non-assessable, not subject to redemption and without preemptive or other rights to subscribe for or purchase any proportionate part of any new or additional issues of stock of any class or of securities convertible into stock of any class.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Holders of Class B Common Stock are entitled to ten votes per share. Except as otherwise required by statute, our articles of incorporation or pursuant to any certificate of designation filed with respect to any series of Preferred Stock, all actions submitted to the stockholders are voted on by holders of Common Stock. Except in the election of directors and as otherwise set forth below, holders of Common Stock shall vote together as a single class. With respect to the election of directors, if on the record date of any stockholders’ meeting at which directors are to be elected by the holders of Common Stock, the aggregate number of outstanding shares of Class A Common Stock is at least 10% of the total aggregate number of outstanding shares of Common Stock, holders of Class A Common Stock shall vote together as a separate class and are entitled to elect 25% of the total number of directors constituting the whole board of directors (the “Board of Directors”) of the Company; provided, that if such 25% is not a whole number, then the holders of Class A Common Stock, voting together as a separate class, are entitled to elect the nearest higher whole number of directors that is at least 25% of the total number of directors. Except as otherwise set forth in the articles of incorporation or as described below, holders of Class B Common Stock, voting together as a separate class, are entitled to elect the remaining directors.</w:t>
      </w:r>
    </w:p>
    <w:p>
      <w:pPr>
        <w:spacing w:after="0" w:line="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however, on the record date for any stockholders meeting at which directors are to be elected, the aggregate number of outstanding shares of Class A Common Stock is less than 10% of the total aggregate number of outstanding shares of Common Stock, the holders of Common Stock shall vote together as a single class with respect to the election of directors and the holders of Class A Common Stock, voting together as a separate class, do not have the right to elect 25% of the total number of directors but have one vote per share for all directors and the holders of Class B Common Stock shall have ten votes per share for all directors.</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on the record date for notice of any stockholders meeting at which directors are to be elected, the aggregate number of outstanding shares of Class B Common Stock is less than 12.5% of the total aggregate number of outstanding shares of Common Stock, then the holders of Class A Common Stock, voting together as a separate class, shall continue to elect a number of directors equal to 25% of the total number of directors constituting the whole Board of Directors and, in addition, shall vote together with the holders of Class B Common Stock, as a single class, to elect the remaining directors to be elected at such stockholders meeting, with the holders of Class A Common Stock entitled to one vote per share and the holders of Class B Common Stock entitled to ten votes per share.</w:t>
      </w:r>
    </w:p>
    <w:p>
      <w:pPr>
        <w:spacing w:after="0" w:line="7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under our articles of incorporation, the affirmative vote or consent of the holders of at least 66.67% of the outstanding shares of Class B Common Stock, voting separately as a class, is required for the authorization or issuance of any additional shares of Class B Common Stock and for any amendment, alteration or repeal of any provisions of our articles of incorporation which would affect adversely the powers, preferences or rights of the Class B Common Stock. Except as provided in the previous sentence, the number of authorized shares of any class of Common Stock may be increased or decreased (but not below the number of shares thereof then outstanding) by the affirmative vote of the holders of a majority of the voting power of the outstanding stock of the Company entitled to vote. Our articles of incorporation do not provide for cumulative voting.</w:t>
      </w:r>
    </w:p>
    <w:p>
      <w:pPr>
        <w:spacing w:after="0" w:line="7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Dolan family, including trusts for the benefit of members of the Dolan family (collectively, the “Dolan Family Group”), by virtue of their ownership of all of our Class B Common Stock, are able collectively to control decisions on matters in which holders of our Class A Common Stock and Class B Common Stock vote together as a single class (including, but not limited to, a change-in-control), and to elect up to 75% of Board of Directors. Certain Dolan family trusts (the “Excluded Trusts”) collectively own approximately 83.5% of the outstanding Class B Common Stock. Shares of Class B Common Stock owned by the Excluded Trusts will, on all matters, be voted on in accordance with the determination of the Excluded Trusts holding a majority of the shares of Class B Common Stock held by all Excluded Trusts, except in the case of a vote on a going-private transaction or a change-in-control transaction, in which case a vote of trusts holding two-thirds of the Class B Common Stock owned by Excluded Trusts is required.</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Members of the Dolan Family Group (other than the Excluded Trusts) are parties to a Stockholders Agreement (the “Stockholders Agreement”), which has the effect of causing the voting power of certain holders of our Class B Common Stock (other than Excluded Trusts) to be cast as a block on all matters to be voted on by holders of our Class B Common Stock (other than the Excluded Trusts). Under the Stockholders Agreement, the shares of Class B Common Stock owned by members of the Dolan Family Group (other than the Excluded Trusts) are to be voted on all matters in accordance with the determination of the Dolan Family Committee. The Dolan</w:t>
      </w:r>
    </w:p>
    <w:p>
      <w:pPr>
        <w:sectPr>
          <w:pgSz w:w="11900" w:h="16838" w:orient="portrait"/>
          <w:cols w:equalWidth="0" w:num="1">
            <w:col w:w="11240"/>
          </w:cols>
          <w:pgMar w:left="320" w:top="877" w:right="33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t>Family Committee consists of James L. Dolan, Patrick F. Dolan, Thomas C. Dolan, Kathleen M. Dolan, Marianne E. Dolan Weber and Deborah A. Dolan-Sweeney (collectively, the “Dolan Siblings”). The Dolan Family Committee generally acts by vote of the Dolan Siblings, with each Dolan Sibling being entitled to one vote. Matters coming to the Dolan Family Committee generally require approval by a majority vote, except that a going-private transaction must be approved by a two-thirds vote and a change-in-control transaction must be approved by not less than all but one vote.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Notification of Stockholder Nominations and Proposals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bylaws establish certain advance notice procedures with respect to stockholder proposals and persons nominated for election as directors (other than nominations made by or at the direction of our Board of Directors as further described in our bylaws). In particular, stockholders must notify our corporate secretary in writing prior to the meeting at which the matters are to be acted upon or directors are to be elected. The notice must contain the information specified in our bylaws. To be timely, the notice must be received by our corporate secretary not less than 60 nor more than 90 days prior to the date of the stockholders’ meeting; provided, however, that if the date of the meeting is publicly announced or disclosed less than 70 days prior to the date of the meeting, the notice must be given not more than ten days after such date is first announced or disclosed.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articles of incorporation provide that, no action of stockholders required or permitted to be taken at any annual or special meeting of stockholders may be taken without a meeting of stockholders, without prior notice and without a vote, and the power of the stockholders to consent in writing to the taking of any action without a meeting is specifically denied. Notwithstanding the foregoing, the holders of any series of Preferred Stock are entitled to take action by written consent to such extent, if any, as may be provided in the terms of such series.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Holders of Class A Common Stock have no conversion rights. Subject to the terms and conditions set forth in our articles of incorporation, Class B Common Stock is convertible into Class A Common Stock at any time and from time to time, at the option of the holder thereof, on the basis of one share of Class A Common Stock for each share of Class B Common Stock. In certain circumstances certain holders of our Class B Common Stock are required to convert their Class B Common Stock to Class A Common Stock prior to transferring such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our articles of incorporation and the provisions of any certificate of designation filed with respect to any series of Preferred Stock, holders of Class A Common Stock and Class B Common Stock are entitled to receive dividends and other distributions equally on a per share basis if and when such dividends or other distributions are declared by the Board of Directors from assets or funds legally available therefor. No dividend or other distribution may be declared or paid in cash, property or shares of Common Stock unless the same dividend or other distribution is paid simultaneously on each share of Class A Common Stock and Class B Common Stock. In the case of any dividend or distribution consisting of Common Stock, Preferred Stock or any other securities of the Company or any other person, holders of Class A Common Stock are entitled to receive the same dividend or other distribution on an equal per share basis as holders of Class B Common Stock receive. Any such dividend or distribution to holders of Common Stock may not differ in any respect except to the extent that the differences in their rights (other than voting rights) are consistent in all material respects with the differences between the Class A Common Stock and the Class B Common Stock and with the difference as to their relative voting rights.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holders of Class A Common Stock and Class B Common Stock will share with each other on a ratable basis as a single class in the net assets available for distribution in respect of Class A Common Stock and Class B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Neither the Class A Common Stock nor the Class B Common Stock may be subdivided, consolidated, reclassified or otherwise changed, except as expressly provided in our articles of incorporation, unless the other class of Common Stock is subdivided, consolidated, reclassified or otherwise changed at the same time, in the same proportion and in the same manner.</w:t>
      </w:r>
    </w:p>
    <w:p>
      <w:pPr>
        <w:spacing w:after="0" w:line="6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any merger, consolidation or business combination of the Company with or into another corporation, the consideration to be received per share by holders of Class A Common Stock and Class B Common Stock must be identical to that received by holders of the other class of Common Stock, except that in any such transaction in which shares of capital stock are distributed, such shares may differ as to voting rights only to the extent that the voting rights differ in our articles of incorporation between Class A Common Stock and Class B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Class A Common Stock is EQ Shareowner Services.</w:t>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Under our articles of incorporation, our Board of Directors is authorized, without further stockholder action, to provide for the issuance of up to 45,000,000 shares of Preferred Stock in one or more series. The powers, designations, preferences and relative, participating, optional or other special rights, and qualifications, limitations or restrictions thereof, including dividend or other distribution rights, voting rights, conversion rights, terms of redemption and liquidation preferences, will either be stated in our articles of incorporation or in a certificate of designation adopted by the Board of Directors and filed with the Nevada Secretary of State. There are no shares of Preferred Stock currently outstanding. Any issuance of Preferred Stock may adversely affect the rights of holders of our Common Stock and may render more difficult certain unsolicited or hostile attempts to take over the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“Combination with Interested Stockholders” Statutes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in advance, either the combination or the transaction by which such person becomes an “interested stockholder,”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 These statutes generally apply to Nevada corporations with 200 or more stockholders of record. However, a Nevada corporation may elect in its articles of incorporation not to be governed by these particular laws, but if such election is not made in the corporation’s original articles of incorporation or in an amendment effective prior to the company having 200 or more stockholders of record, then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While corporations are entitled to opt out of these statutes in their original articles of incorporation, we have not done so. However, our Board of Directors approved for all purposes, and to the extent applicable, under NRS 78.411 through 78.444, inclusive, the acquisition of shares of Common Stock in connection with the Company’s conversion to a Nevada corporation, with the intent of making NRS 78.411 through 78.444, inclusive, inapplicable to transactions between the Company, on the one hand, and Dolan family members and entities, on the other hand.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Inapplicability of Controlling Interest Statutes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Nevada’s “acquisition of controlling interest” statutes (NRS 78.378 to 78.3793) prohibit an acquirer, under certain circumstances, from voting its shares of a corporation’s stock after crossing certain ownership threshold percentages, unless the acquirer obtains approval of the corporation’s disinterested stockholders. The statute specifies three thresholds: one-fifth or more but less than one-third, one-third but less than a majority, and a majority or more, of the outstanding voting power. Generally, once an acquirer crosses one of the above thresholds, those shares in an offer or acquisition and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Nevada’s dissenter’s rights statutes.</w:t>
      </w:r>
    </w:p>
    <w:p>
      <w:pPr>
        <w:spacing w:after="0" w:line="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Corporations are entitled to opt out of the acquisition of controlling interest statutes by making an election in their articles of incorporation or bylaws, provided that the opt-out election must be in place on the tenth day following the date an acquiring person has acquired a controlling interest, that is, crossing any of the three thresholds described above. The Company has opted out of the acquisition of controlling interest statutes in its bylaws, and, the provisions of NRS 78.378 through 78.3793, inclusive, or any successor statutes, relating to acquisitions of controlling interests in the Company will not apply to the Company or to any acquisition of any shares of the Company’s capital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complete text of the statutes referred to below and the Registrant’s Articles of Incorporation (the “Articles”) and Bylaws (“Bylaws”).</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Nevada and the Articles and Bylaws limit director and officer liability and provide for indemnification to the fullest extent provided by Nevada law. The Registrant also maintains standard policies of insurance under which coverage is provided (i) to its directors and officers against loss arising from claims made by reason of breach of duty or other wrongful act and (ii) to the Registrant with respect to payments which may be made by the registrant to such directors and officers pursuant to the above indemnification provision or otherwise as a matter of law.</w:t>
      </w:r>
    </w:p>
    <w:p>
      <w:pPr>
        <w:spacing w:after="0" w:line="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Nevada Revised Statutes (“NRS”) Section 78.751(1) provides that a corporation shall indemnify any director, officer, employee, or agent of a corporation against expenses, including attorneys’ fees, actually and reasonably incurred by such person in connection with any defense of (a) any threatened, pending, or completed action, suit or proceedings,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(b) any claim, issue or matter therein.</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NRS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limited-liability company, against expenses, including attorneys’ fees, judgments, fines, and amounts paid in settlement actually and reasonably incurred by such person in connection with the action, suit, or proceeding if the person: (a) is not liable pursuant to NRS 78.138; or (b) acted in good faith and in a manner which he or she reasonably believed to be in or not opposed to the best interests of the corporation, and, with respect to any criminal action or proceeding, he or she had no reasonable cause to believe the conduct was unlawful.</w:t>
      </w:r>
    </w:p>
    <w:p>
      <w:pPr>
        <w:spacing w:after="0" w:line="8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NRS 78.7502(2)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such person in connection with the defense or settlement of the action or suit if the person: (a) is not liable pursuant to NRS 78.138; or (b) acted in good faith and in a manner which he or she reasonably believed to be in or not opposed to the best interests of the corporation. Indemnification pursuant to NRS 78.7502(2) may not be made for any claim, issue or matter as to which such a person has been adjudged by a court of competent jurisdiction, after exhaustion of any appeals taken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8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NRS 78.747 provides that except as otherwise provided by statute or agreement, no person other than a corporation is individually liable for a debt or liability of the corporation unless the person acts as the alter ego of the corporation. The court, as a matter of law, must determine the question of whether a person, including a director or officer, acts as the alter ego of a corporation.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Item 9 for the Registrant’s undertakings with respect to indemnification for liabilities under the Securities 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76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850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99"/>
        </w:trPr>
        <w:tc>
          <w:tcPr>
            <w:tcW w:w="144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4.1</w:t>
            </w:r>
          </w:p>
        </w:tc>
        <w:tc>
          <w:tcPr>
            <w:tcW w:w="8500" w:type="dxa"/>
            <w:vAlign w:val="bottom"/>
            <w:gridSpan w:val="11"/>
          </w:tcPr>
          <w:p>
            <w:pPr>
              <w:spacing w:after="0" w:line="19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Registrant’s Certificate of Incorporation (incorporated herein by reference to Exhibit 3.1 to the Registrant’s Current</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Report on Form 8-K filed on June 6, 2025)</w:t>
              </w:r>
            </w:hyperlink>
          </w:p>
        </w:tc>
        <w:tc>
          <w:tcPr>
            <w:tcW w:w="5200" w:type="dxa"/>
            <w:vAlign w:val="bottom"/>
            <w:tcBorders>
              <w:top w:val="single" w:sz="8" w:color="0000FF"/>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83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Registrant’s By-Laws (incorporated herein by reference to Exhibit 3.2 to the Registrant’s Current Report on Form 8-</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500" w:type="dxa"/>
            <w:vAlign w:val="bottom"/>
            <w:gridSpan w:val="11"/>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K filed on June,6 2025)</w:t>
              </w:r>
            </w:hyperlink>
          </w:p>
        </w:tc>
        <w:tc>
          <w:tcPr>
            <w:tcW w:w="0" w:type="dxa"/>
            <w:vAlign w:val="bottom"/>
          </w:tcPr>
          <w:p>
            <w:pPr>
              <w:spacing w:after="0"/>
              <w:rPr>
                <w:sz w:val="1"/>
                <w:szCs w:val="1"/>
                <w:color w:val="auto"/>
              </w:rPr>
            </w:pPr>
          </w:p>
        </w:tc>
      </w:tr>
      <w:tr>
        <w:trPr>
          <w:trHeight w:val="20"/>
        </w:trPr>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1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vMerge w:val="continue"/>
          </w:tcPr>
          <w:p>
            <w:pPr>
              <w:spacing w:after="0"/>
              <w:rPr>
                <w:sz w:val="24"/>
                <w:szCs w:val="24"/>
                <w:color w:val="auto"/>
              </w:rPr>
            </w:pPr>
          </w:p>
        </w:tc>
        <w:tc>
          <w:tcPr>
            <w:tcW w:w="8500" w:type="dxa"/>
            <w:vAlign w:val="bottom"/>
            <w:gridSpan w:val="1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AMC Networks Inc. Amended and Restated 2016 Employee Stock Plan (incorporated herein by reference to Annex</w:t>
              </w:r>
            </w:hyperlink>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B of the Registrant’s Definitive Proxy Statement on Schedule 14A filed on April 25, 2025)</w:t>
              </w:r>
            </w:hyperlink>
          </w:p>
        </w:tc>
        <w:tc>
          <w:tcPr>
            <w:tcW w:w="1800" w:type="dxa"/>
            <w:vAlign w:val="bottom"/>
            <w:tcBorders>
              <w:top w:val="single" w:sz="8" w:color="0000FF"/>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3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Opinion of Brownstein Hyatt Farber Schreck, LLP</w:t>
            </w:r>
          </w:p>
        </w:tc>
        <w:tc>
          <w:tcPr>
            <w:tcW w:w="4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KPMG LLP</w:t>
            </w:r>
          </w:p>
        </w:tc>
        <w:tc>
          <w:tcPr>
            <w:tcW w:w="67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85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Brownstein Hyatt Farber Schreck, LLP (included in Exhibit 5.1)</w:t>
            </w:r>
          </w:p>
        </w:tc>
        <w:tc>
          <w:tcPr>
            <w:tcW w:w="0" w:type="dxa"/>
            <w:vAlign w:val="bottom"/>
          </w:tcPr>
          <w:p>
            <w:pPr>
              <w:spacing w:after="0"/>
              <w:rPr>
                <w:sz w:val="1"/>
                <w:szCs w:val="1"/>
                <w:color w:val="auto"/>
              </w:rPr>
            </w:pPr>
          </w:p>
        </w:tc>
      </w:tr>
      <w:tr>
        <w:trPr>
          <w:trHeight w:val="304"/>
        </w:trPr>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5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Powers of Attorney (set forth on the signature page)</w:t>
            </w:r>
          </w:p>
        </w:tc>
        <w:tc>
          <w:tcPr>
            <w:tcW w:w="3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440" w:hanging="1364"/>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ectPr>
          <w:pgSz w:w="11900" w:h="16838" w:orient="portrait"/>
          <w:cols w:equalWidth="0" w:num="1">
            <w:col w:w="10139"/>
          </w:cols>
          <w:pgMar w:left="320" w:top="118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85" w:lineRule="exact"/>
        <w:rPr>
          <w:sz w:val="20"/>
          <w:szCs w:val="20"/>
          <w:color w:val="auto"/>
        </w:rPr>
      </w:pPr>
    </w:p>
    <w:p>
      <w:pPr>
        <w:ind w:left="720" w:hanging="38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10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“Filing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110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and (1)(ii) of this section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Exchange Act that are incorporated by reference in this Registration Statement.</w:t>
      </w:r>
    </w:p>
    <w:p>
      <w:pPr>
        <w:spacing w:after="0" w:line="175" w:lineRule="exact"/>
        <w:rPr>
          <w:sz w:val="20"/>
          <w:szCs w:val="20"/>
          <w:color w:val="auto"/>
        </w:rPr>
      </w:pPr>
    </w:p>
    <w:p>
      <w:pPr>
        <w:ind w:left="660" w:right="320" w:hanging="328"/>
        <w:spacing w:after="0" w:line="266" w:lineRule="auto"/>
        <w:tabs>
          <w:tab w:leader="none" w:pos="7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20"/>
          </w:cols>
          <w:pgMar w:left="320" w:top="765" w:right="35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Registration Statement and has duly caused this Registration Statement to be signed on its behalf by the undersigned, thereunto duly authorized, in New York, New York, on the 8th day of October, 2025.</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229" w:lineRule="exact"/>
        <w:rPr>
          <w:sz w:val="20"/>
          <w:szCs w:val="20"/>
          <w:color w:val="auto"/>
        </w:rPr>
      </w:pPr>
    </w:p>
    <w:p>
      <w:pPr>
        <w:ind w:left="520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Kristin A. Dolan</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Kristin A. Dolan</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Salvatore Romanello and Anne G. Kelly to file one or more amendments, including post-effective amendments, to this Registration Statement, which amendments may make such changes as any of them deems appropriate, and each person whose signature appears below, individually and in each capacity stated below, hereby appoints Salvatore Romanello and Anne G. Kelly as Attorney-in-Fact to execute his or her name and on his or her behalf to file any such amendments to this Registration Statement.</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8th day of October,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6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L. Dolan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L. Dolan</w:t>
            </w:r>
          </w:p>
        </w:tc>
        <w:tc>
          <w:tcPr>
            <w:tcW w:w="5740" w:type="dxa"/>
            <w:vAlign w:val="bottom"/>
          </w:tcPr>
          <w:p>
            <w:pPr>
              <w:spacing w:after="0"/>
              <w:rPr>
                <w:sz w:val="19"/>
                <w:szCs w:val="19"/>
                <w:color w:val="auto"/>
              </w:rPr>
            </w:pPr>
          </w:p>
        </w:tc>
      </w:tr>
      <w:tr>
        <w:trPr>
          <w:trHeight w:val="58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 A. Dolan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 A. Dolan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O’Connell</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O’Connell</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Sherin III</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Sherin III</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Blank</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Blank</w:t>
            </w:r>
          </w:p>
        </w:tc>
        <w:tc>
          <w:tcPr>
            <w:tcW w:w="574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M. Cohen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M. Cohen</w:t>
            </w:r>
          </w:p>
        </w:tc>
        <w:tc>
          <w:tcPr>
            <w:tcW w:w="574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J. Cox</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J. Cox</w:t>
            </w:r>
          </w:p>
        </w:tc>
        <w:tc>
          <w:tcPr>
            <w:tcW w:w="574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Aidan Dolan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Aidan Dolan</w:t>
            </w:r>
          </w:p>
        </w:tc>
        <w:tc>
          <w:tcPr>
            <w:tcW w:w="574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C. Dolan</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C. Dolan</w:t>
            </w:r>
          </w:p>
        </w:tc>
        <w:tc>
          <w:tcPr>
            <w:tcW w:w="5740" w:type="dxa"/>
            <w:vAlign w:val="bottom"/>
          </w:tcPr>
          <w:p>
            <w:pPr>
              <w:spacing w:after="0"/>
              <w:rPr>
                <w:sz w:val="19"/>
                <w:szCs w:val="19"/>
                <w:color w:val="auto"/>
              </w:rPr>
            </w:pPr>
          </w:p>
        </w:tc>
      </w:tr>
    </w:tbl>
    <w:p>
      <w:pPr>
        <w:sectPr>
          <w:pgSz w:w="11900" w:h="16838" w:orient="portrait"/>
          <w:cols w:equalWidth="0" w:num="1">
            <w:col w:w="11160"/>
          </w:cols>
          <w:pgMar w:left="320" w:top="765" w:right="4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C. Mills</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C. Mills</w:t>
            </w:r>
          </w:p>
        </w:tc>
        <w:tc>
          <w:tcPr>
            <w:tcW w:w="92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Debra G. Perelman</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Debra G. Perelman</w:t>
            </w:r>
          </w:p>
        </w:tc>
        <w:tc>
          <w:tcPr>
            <w:tcW w:w="92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G. Sweeney</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G. Sweeney</w:t>
            </w:r>
          </w:p>
        </w:tc>
        <w:tc>
          <w:tcPr>
            <w:tcW w:w="92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Vincent Tese</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Vincent Tese</w:t>
            </w:r>
          </w:p>
        </w:tc>
        <w:tc>
          <w:tcPr>
            <w:tcW w:w="92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 E. Vogel</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Carl E. Vogel</w:t>
            </w:r>
          </w:p>
        </w:tc>
        <w:tc>
          <w:tcPr>
            <w:tcW w:w="920" w:type="dxa"/>
            <w:vAlign w:val="bottom"/>
          </w:tcPr>
          <w:p>
            <w:pPr>
              <w:spacing w:after="0"/>
              <w:rPr>
                <w:sz w:val="19"/>
                <w:szCs w:val="19"/>
                <w:color w:val="auto"/>
              </w:rPr>
            </w:pPr>
          </w:p>
        </w:tc>
      </w:tr>
    </w:tbl>
    <w:p>
      <w:pPr>
        <w:sectPr>
          <w:pgSz w:w="11900" w:h="16838" w:orient="portrait"/>
          <w:cols w:equalWidth="0" w:num="1">
            <w:col w:w="10139"/>
          </w:cols>
          <w:pgMar w:left="320" w:top="1066" w:right="1440" w:bottom="1440" w:gutter="0" w:footer="0" w:header="0"/>
        </w:sectPr>
      </w:pPr>
    </w:p>
    <w:bookmarkStart w:id="10" w:name="page11"/>
    <w:bookmarkEnd w:id="10"/>
    <w:p>
      <w:pPr>
        <w:spacing w:after="0" w:line="28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30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u w:val="single" w:color="auto"/>
          <w:color w:val="auto"/>
        </w:rPr>
        <w:t>Form S-8</w:t>
      </w:r>
    </w:p>
    <w:p>
      <w:pPr>
        <w:spacing w:after="0" w:line="3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(Form Type)</w:t>
      </w:r>
    </w:p>
    <w:p>
      <w:pPr>
        <w:spacing w:after="0" w:line="36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b w:val="1"/>
          <w:bCs w:val="1"/>
          <w:u w:val="single" w:color="auto"/>
          <w:color w:val="auto"/>
        </w:rPr>
        <w:t>AMC Networks Inc.</w:t>
      </w:r>
    </w:p>
    <w:p>
      <w:pPr>
        <w:spacing w:after="0" w:line="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(Exact Name of Registrant as Specified in its</w:t>
      </w:r>
    </w:p>
    <w:p>
      <w:pPr>
        <w:spacing w:after="0" w:line="12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Charter)</w:t>
      </w:r>
    </w:p>
    <w:p>
      <w:pPr>
        <w:spacing w:after="0" w:line="2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u w:val="single" w:color="auto"/>
          <w:color w:val="auto"/>
        </w:rPr>
        <w:t>Table 1: Newly Registered Securities</w:t>
      </w:r>
    </w:p>
    <w:p>
      <w:pPr>
        <w:spacing w:after="0" w:line="267" w:lineRule="exact"/>
        <w:rPr>
          <w:sz w:val="20"/>
          <w:szCs w:val="20"/>
          <w:color w:val="auto"/>
        </w:rPr>
      </w:pPr>
    </w:p>
    <w:tbl>
      <w:tblPr>
        <w:tblLayout w:type="fixed"/>
        <w:tblInd w:w="102" w:type="dxa"/>
        <w:tblCellMar>
          <w:top w:w="0" w:type="dxa"/>
          <w:left w:w="0" w:type="dxa"/>
          <w:bottom w:w="0" w:type="dxa"/>
          <w:right w:w="0" w:type="dxa"/>
        </w:tblCellMar>
      </w:tblPr>
      <w:tr>
        <w:trPr>
          <w:trHeight w:val="189"/>
        </w:trPr>
        <w:tc>
          <w:tcPr>
            <w:tcW w:w="106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Security Class</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 Calculation</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Amount</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Proposed Maximum</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c>
          <w:tcPr>
            <w:tcW w:w="1160" w:type="dxa"/>
            <w:vAlign w:val="bottom"/>
            <w:tcBorders>
              <w:top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 of</w:t>
            </w:r>
          </w:p>
        </w:tc>
        <w:tc>
          <w:tcPr>
            <w:tcW w:w="0" w:type="dxa"/>
            <w:vAlign w:val="bottom"/>
          </w:tcPr>
          <w:p>
            <w:pPr>
              <w:spacing w:after="0"/>
              <w:rPr>
                <w:sz w:val="1"/>
                <w:szCs w:val="1"/>
                <w:color w:val="auto"/>
              </w:rPr>
            </w:pPr>
          </w:p>
        </w:tc>
      </w:tr>
      <w:tr>
        <w:trPr>
          <w:trHeight w:val="189"/>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Security Type</w:t>
            </w:r>
          </w:p>
        </w:tc>
        <w:tc>
          <w:tcPr>
            <w:tcW w:w="136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170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Aggregate Offering</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 Rate</w:t>
            </w:r>
          </w:p>
        </w:tc>
        <w:tc>
          <w:tcPr>
            <w:tcW w:w="1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60" w:type="dxa"/>
            <w:vAlign w:val="bottom"/>
            <w:tcBorders>
              <w:left w:val="single" w:sz="8" w:color="auto"/>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Registered</w:t>
            </w:r>
            <w:r>
              <w:rPr>
                <w:rFonts w:ascii="Times New Roman" w:cs="Times New Roman" w:eastAsia="Times New Roman" w:hAnsi="Times New Roman"/>
                <w:sz w:val="21"/>
                <w:szCs w:val="21"/>
                <w:color w:val="auto"/>
                <w:w w:val="94"/>
                <w:vertAlign w:val="superscript"/>
              </w:rPr>
              <w:t>(1)</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Offering Price Per Unit</w:t>
            </w:r>
            <w:r>
              <w:rPr>
                <w:rFonts w:ascii="Times New Roman" w:cs="Times New Roman" w:eastAsia="Times New Roman" w:hAnsi="Times New Roman"/>
                <w:sz w:val="21"/>
                <w:szCs w:val="21"/>
                <w:color w:val="auto"/>
                <w:w w:val="98"/>
                <w:vertAlign w:val="superscript"/>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Price</w:t>
            </w:r>
            <w:r>
              <w:rPr>
                <w:rFonts w:ascii="Times New Roman" w:cs="Times New Roman" w:eastAsia="Times New Roman" w:hAnsi="Times New Roman"/>
                <w:sz w:val="21"/>
                <w:szCs w:val="21"/>
                <w:color w:val="auto"/>
                <w:w w:val="93"/>
                <w:vertAlign w:val="superscript"/>
              </w:rPr>
              <w:t>(2)</w:t>
            </w:r>
          </w:p>
        </w:tc>
        <w:tc>
          <w:tcPr>
            <w:tcW w:w="1160" w:type="dxa"/>
            <w:vAlign w:val="bottom"/>
            <w:tcBorders>
              <w:bottom w:val="single" w:sz="8" w:color="auto"/>
              <w:right w:val="single" w:sz="8" w:color="auto"/>
            </w:tcBorders>
            <w:vMerge w:val="continue"/>
          </w:tcPr>
          <w:p>
            <w:pPr>
              <w:spacing w:after="0"/>
              <w:rPr>
                <w:sz w:val="22"/>
                <w:szCs w:val="22"/>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Registration Fee</w:t>
            </w: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5,000,000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$39,800,000</w:t>
            </w:r>
          </w:p>
        </w:tc>
        <w:tc>
          <w:tcPr>
            <w:tcW w:w="116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0.0001381</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$5,496.38</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13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tcBorders>
          </w:tcPr>
          <w:p>
            <w:pPr>
              <w:spacing w:after="0"/>
              <w:rPr>
                <w:sz w:val="20"/>
                <w:szCs w:val="20"/>
                <w:color w:val="auto"/>
              </w:rPr>
            </w:pPr>
          </w:p>
        </w:tc>
        <w:tc>
          <w:tcPr>
            <w:tcW w:w="27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Total Offering Amounts</w:t>
            </w:r>
          </w:p>
        </w:tc>
        <w:tc>
          <w:tcPr>
            <w:tcW w:w="1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$39,800,000</w:t>
            </w:r>
          </w:p>
        </w:tc>
        <w:tc>
          <w:tcPr>
            <w:tcW w:w="1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$5,496.38</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60" w:type="dxa"/>
            <w:vAlign w:val="bottom"/>
            <w:tcBorders>
              <w:left w:val="single" w:sz="8" w:color="auto"/>
            </w:tcBorders>
          </w:tcPr>
          <w:p>
            <w:pPr>
              <w:spacing w:after="0"/>
              <w:rPr>
                <w:sz w:val="21"/>
                <w:szCs w:val="21"/>
                <w:color w:val="auto"/>
              </w:rPr>
            </w:pPr>
          </w:p>
        </w:tc>
        <w:tc>
          <w:tcPr>
            <w:tcW w:w="272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rPr>
              <w:t>Total Fee Offsets</w:t>
            </w:r>
          </w:p>
        </w:tc>
        <w:tc>
          <w:tcPr>
            <w:tcW w:w="13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60" w:type="dxa"/>
            <w:vAlign w:val="bottom"/>
            <w:tcBorders>
              <w:left w:val="single" w:sz="8" w:color="auto"/>
            </w:tcBorders>
          </w:tcPr>
          <w:p>
            <w:pPr>
              <w:spacing w:after="0"/>
              <w:rPr>
                <w:sz w:val="21"/>
                <w:szCs w:val="21"/>
                <w:color w:val="auto"/>
              </w:rPr>
            </w:pPr>
          </w:p>
        </w:tc>
        <w:tc>
          <w:tcPr>
            <w:tcW w:w="272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Net Fee Due</w:t>
            </w:r>
          </w:p>
        </w:tc>
        <w:tc>
          <w:tcPr>
            <w:tcW w:w="13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$5,496.38</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8" w:right="220" w:firstLine="8"/>
        <w:spacing w:after="0" w:line="227" w:lineRule="auto"/>
        <w:tabs>
          <w:tab w:leader="none" w:pos="22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of the Securities Act of 1933, the registration statement on Form S-8 to which this exhibit relates (the “Registration Statement”) shall also cover any additional shares of AMC Networks Inc.’s (the “Registrant”) Class A Common Stock, par value $0.01 per share (“Class A Common Stock”), which become issuable under the AMC Networks Inc. Amended and Restated 2016 Employee Stock Plan pursuant to the Registration Statement by reason of any stock dividend, stock split, recapitalization or any other similar transaction which results in an increase in the number of the Registrant’s outstanding shares of Class A Common Stock.</w:t>
      </w:r>
    </w:p>
    <w:p>
      <w:pPr>
        <w:spacing w:after="0" w:line="194" w:lineRule="exact"/>
        <w:rPr>
          <w:rFonts w:ascii="Times New Roman" w:cs="Times New Roman" w:eastAsia="Times New Roman" w:hAnsi="Times New Roman"/>
          <w:sz w:val="16"/>
          <w:szCs w:val="16"/>
          <w:color w:val="auto"/>
        </w:rPr>
      </w:pPr>
    </w:p>
    <w:p>
      <w:pPr>
        <w:ind w:left="-8" w:firstLine="8"/>
        <w:spacing w:after="0" w:line="232" w:lineRule="auto"/>
        <w:tabs>
          <w:tab w:leader="none" w:pos="22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registration fee. Pursuant to Rule 457(c) and Rule 457(h) under the Securities Act of 1933, the proposed maximum offering price per share and proposed maximum aggregate offering price are based on the reported average of the high and low prices of Class A Common Stock as reported on the NASDAQ Stock Market on October 3, 2025.</w:t>
      </w:r>
    </w:p>
    <w:p>
      <w:pPr>
        <w:sectPr>
          <w:pgSz w:w="11900" w:h="16838" w:orient="portrait"/>
          <w:cols w:equalWidth="0" w:num="1">
            <w:col w:w="11192"/>
          </w:cols>
          <w:pgMar w:left="328" w:top="1440" w:right="3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9700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051C2C"/>
        </w:rPr>
        <w:t>Brownstein Hyatt Farber Schreck, LLP</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702.382.2101 main</w:t>
      </w:r>
    </w:p>
    <w:p>
      <w:pPr>
        <w:spacing w:after="0" w:line="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 North City Parkway, Suite 1600</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Las Vegas, Nevada 89106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Penn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10121</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7"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We have acted as local Nevada counsel to AMC Networks Inc., a Nevada corporation (the “Company”), which is the resulting entity (as defined in Nevada Revised Statutes 92A.090) in the conversion of AMC Networks Inc., a Delaware corporation (the “</w:t>
      </w:r>
      <w:r>
        <w:rPr>
          <w:rFonts w:ascii="Times New Roman" w:cs="Times New Roman" w:eastAsia="Times New Roman" w:hAnsi="Times New Roman"/>
          <w:sz w:val="18"/>
          <w:szCs w:val="18"/>
          <w:u w:val="single" w:color="auto"/>
          <w:color w:val="auto"/>
        </w:rPr>
        <w:t>Delaware Corporation</w:t>
      </w:r>
      <w:r>
        <w:rPr>
          <w:rFonts w:ascii="Times New Roman" w:cs="Times New Roman" w:eastAsia="Times New Roman" w:hAnsi="Times New Roman"/>
          <w:sz w:val="18"/>
          <w:szCs w:val="18"/>
          <w:color w:val="auto"/>
        </w:rPr>
        <w:t>”), into a Nevada corporation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in connection with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“Act”), on October 8, 2025, relating to the registration of 5,000,000 additional shares (the “Shares”) of the Company’s Class A Common Stock, par value $0.01 per share (the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issuable under the Company’s Amended and Restated 2016 Employee Stock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opinion letter is being delivered at your request pursuant to the requirements of Item 601(b)(5) of Regulation S-K under the Act.</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our capacity as such counsel, we are familiar with the proceedings taken and proposed to be taken by the Company in connection with the authorization and issuance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purpose of issuing this opinion letter, we have made such legal and factual examinations and inquiries, including an examination of originals or copies certified or otherwise identified to our satisfaction as being true copies of (i) the Registration Statement, (ii) the Plan, (iii) the Company’s articles of incorporation and bylaws, and (iv) such other agreements, instruments, corporate records (including resolutions of the board of directors and any committee thereof) and other documents, or forms thereof, as we have deemed necessary or appropriate, and we have obtained from officers and other representatives and agents of the Company and from public officials, and have relied upon, such certificates, representations, assurances and public filings as we have deemed necessary or appropriate.</w:t>
      </w:r>
    </w:p>
    <w:p>
      <w:pPr>
        <w:spacing w:after="0" w:line="187"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Without limiting the generality of the foregoing, we have, with your permission, assumed without independent verification that (i) each natural person executing a document has or will have sufficient legal capacity to do so; (ii) all documents submitted to us as originals are authentic, the signatures on all documents we reviewed are genuine, and all documents submitted to us as certified, conformed, photostatic, electronic or facsimile copies conform to the original document; (iii) all corporate records made available to us by the Company, and all public records we have reviewed, are accurate and complete;</w:t>
      </w:r>
    </w:p>
    <w:p>
      <w:pPr>
        <w:spacing w:after="0" w:line="3" w:lineRule="exact"/>
        <w:rPr>
          <w:sz w:val="20"/>
          <w:szCs w:val="20"/>
          <w:color w:val="auto"/>
        </w:rPr>
      </w:pPr>
    </w:p>
    <w:p>
      <w:pPr>
        <w:ind w:right="80" w:firstLine="8"/>
        <w:spacing w:after="0" w:line="253"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the Delaware Corporation has taken all corporate action required under the laws of the State of Delaware to authorize the Plan and the performance by the Company of its obligations thereunder, including the issuance of Shares; and (v) after any issuance of any Shares, the total number of issued and outstanding shares of Class A Common Stock, together with the total number of shares of Class A Common Stock then reserved for issuance or obligated to be issued by the Company pursuant to any agreement or arrangement, or otherwise, including pursuant to the Plan, will not exceed the total number of shares of Class A Common Stock then authorized under the Company’s articles of incorporation.</w:t>
      </w:r>
    </w:p>
    <w:p>
      <w:pPr>
        <w:spacing w:after="0" w:line="18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w:t>
      </w:r>
    </w:p>
    <w:p>
      <w:pPr>
        <w:sectPr>
          <w:pgSz w:w="11900" w:h="16838" w:orient="portrait"/>
          <w:cols w:equalWidth="0" w:num="1">
            <w:col w:w="11240"/>
          </w:cols>
          <w:pgMar w:left="320" w:top="968" w:right="339" w:bottom="1440" w:gutter="0" w:footer="0" w:header="0"/>
        </w:sectPr>
      </w:pPr>
    </w:p>
    <w:bookmarkStart w:id="12" w:name="page13"/>
    <w:bookmarkEnd w:id="12"/>
    <w:p>
      <w:pPr>
        <w:ind w:right="200"/>
        <w:spacing w:after="0" w:line="282" w:lineRule="auto"/>
        <w:rPr>
          <w:sz w:val="20"/>
          <w:szCs w:val="20"/>
          <w:color w:val="auto"/>
        </w:rPr>
      </w:pPr>
      <w:r>
        <w:rPr>
          <w:rFonts w:ascii="Times New Roman" w:cs="Times New Roman" w:eastAsia="Times New Roman" w:hAnsi="Times New Roman"/>
          <w:sz w:val="18"/>
          <w:szCs w:val="18"/>
          <w:color w:val="auto"/>
        </w:rPr>
        <w:t>required by, any federal laws, rules or regulations, including, without limitation, any federal securities laws, rules or regulations, or any state securities or “blue sky” laws, rules or regulations.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 such Shares will be validly issued, fully paid and non-assessable.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 No opinion is offered or implied as to any matter, and no inference may be drawn, beyond the strict scope of the specific issues expressly addressed by the opinion set forth herein.</w:t>
      </w:r>
    </w:p>
    <w:p>
      <w:pPr>
        <w:spacing w:after="0" w:line="18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Brownstein Hyatt Farber Schreck, LLP</w:t>
      </w:r>
    </w:p>
    <w:p>
      <w:pPr>
        <w:sectPr>
          <w:pgSz w:w="11900" w:h="16838" w:orient="portrait"/>
          <w:cols w:equalWidth="0" w:num="1">
            <w:col w:w="11240"/>
          </w:cols>
          <w:pgMar w:left="320" w:top="972"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60"/>
        <w:spacing w:after="0" w:line="250" w:lineRule="auto"/>
        <w:rPr>
          <w:sz w:val="20"/>
          <w:szCs w:val="20"/>
          <w:color w:val="auto"/>
        </w:rPr>
      </w:pPr>
      <w:r>
        <w:rPr>
          <w:rFonts w:ascii="Times New Roman" w:cs="Times New Roman" w:eastAsia="Times New Roman" w:hAnsi="Times New Roman"/>
          <w:sz w:val="18"/>
          <w:szCs w:val="18"/>
          <w:color w:val="auto"/>
        </w:rPr>
        <w:t>We consent to the use of our reports dated February 14, 2025, with respect to the consolidated financial statements of AMC Networks Inc., and the effectiveness of internal control over financial reporting, incorporated herein by reference.</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07"/>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6" Type="http://schemas.openxmlformats.org/officeDocument/2006/relationships/image" Target="media/image2.jpeg"/><Relationship Id="rId9" Type="http://schemas.openxmlformats.org/officeDocument/2006/relationships/hyperlink" Target="https://www.sec.gov/ix?doc=/Archives/edgar/data/1514991/000151499125000009/amcx-20241231.htm" TargetMode="External"/><Relationship Id="rId10" Type="http://schemas.openxmlformats.org/officeDocument/2006/relationships/hyperlink" Target="https://www.sec.gov/ix?doc=/Archives/edgar/data/1514991/000151499125000017/amcx-20250331.htm" TargetMode="External"/><Relationship Id="rId11" Type="http://schemas.openxmlformats.org/officeDocument/2006/relationships/hyperlink" Target="https://www.sec.gov/ix?doc=/Archives/edgar/data/1514991/000151499125000034/amcx-20250630.htm" TargetMode="External"/><Relationship Id="rId12" Type="http://schemas.openxmlformats.org/officeDocument/2006/relationships/hyperlink" Target="https://www.sec.gov/ix?doc=/Archives/edgar/data/1514991/000151499125000037/amcx-20250814.htm" TargetMode="External"/><Relationship Id="rId13" Type="http://schemas.openxmlformats.org/officeDocument/2006/relationships/hyperlink" Target="https://www.sec.gov/Archives/edgar/data/1514991/000119312525137075/d70345dex31.htm" TargetMode="External"/><Relationship Id="rId14" Type="http://schemas.openxmlformats.org/officeDocument/2006/relationships/hyperlink" Target="https://www.sec.gov/Archives/edgar/data/1514991/000119312525137075/d70345dex32.htm" TargetMode="External"/><Relationship Id="rId15" Type="http://schemas.openxmlformats.org/officeDocument/2006/relationships/hyperlink" Target="https://www.sec.gov/ix?doc=/Archives/edgar/data/1514991/000119312525095068/d86667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2025-10-08T15:23:59Z</dcterms:created>
  <dcterms:modified xsi:type="dcterms:W3CDTF">2025-10-08T15:23:59Z</dcterms:modified>
</cp:coreProperties>
</file>