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91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9107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Mills Stephen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 PENN PLAZA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AMC Networks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AMCX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AMC</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Networks</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Inc.</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21,194</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6"/>
                <w:szCs w:val="6"/>
                <w:color w:val="auto"/>
              </w:rPr>
            </w:pP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06/05/2025</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21,194</w:t>
            </w:r>
          </w:p>
        </w:tc>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29,236</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920"/>
        <w:spacing w:after="0"/>
        <w:rPr>
          <w:sz w:val="20"/>
          <w:szCs w:val="20"/>
          <w:color w:val="auto"/>
        </w:rPr>
      </w:pPr>
      <w:r>
        <w:rPr>
          <w:rFonts w:ascii="Times New Roman" w:cs="Times New Roman" w:eastAsia="Times New Roman" w:hAnsi="Times New Roman"/>
          <w:sz w:val="13"/>
          <w:szCs w:val="13"/>
          <w:color w:val="0000FF"/>
        </w:rPr>
        <w:t>Stock</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is granted under the AMC Networks Inc. 2011 Amended and Restated Stock Plan for Non-Employee Directors and represents a right to receive one share of Class A Common Stock or the cash equivalent thereof.</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on the date of the grant and will be settled in cash or in stock on the first business day 90 days after service on the Board of Directors ceases.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AMC Networks Inc. 2011 Amended and Restated Stock Plan for Non-Employee Directors for no consideration.</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Anne G. Kelly,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06/09/2025</w:t>
            </w:r>
          </w:p>
        </w:tc>
        <w:tc>
          <w:tcPr>
            <w:tcW w:w="0" w:type="dxa"/>
            <w:vAlign w:val="bottom"/>
          </w:tcPr>
          <w:p>
            <w:pPr>
              <w:spacing w:after="0"/>
              <w:rPr>
                <w:sz w:val="1"/>
                <w:szCs w:val="1"/>
                <w:color w:val="auto"/>
              </w:rPr>
            </w:pPr>
          </w:p>
        </w:tc>
      </w:tr>
      <w:tr>
        <w:trPr>
          <w:trHeight w:val="88"/>
        </w:trPr>
        <w:tc>
          <w:tcPr>
            <w:tcW w:w="116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5"/>
              </w:rPr>
              <w:t>fact for Mr. Mills</w:t>
            </w:r>
          </w:p>
        </w:tc>
        <w:tc>
          <w:tcPr>
            <w:tcW w:w="104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60" w:type="dxa"/>
            <w:vAlign w:val="bottom"/>
            <w:tcBorders>
              <w:bottom w:val="single" w:sz="8" w:color="auto"/>
            </w:tcBorders>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07264" TargetMode="External"/><Relationship Id="rId14" Type="http://schemas.openxmlformats.org/officeDocument/2006/relationships/hyperlink" Target="http://www.sec.gov/cgi-bin/browse-edgar?action=getcompany&amp;CIK=00015149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2025-06-09T15:38:05Z</dcterms:created>
  <dcterms:modified xsi:type="dcterms:W3CDTF">2025-06-09T15:38:05Z</dcterms:modified>
</cp:coreProperties>
</file>