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3978275</wp:posOffset>
            </wp:positionH>
            <wp:positionV relativeFrom="paragraph">
              <wp:posOffset>-625475</wp:posOffset>
            </wp:positionV>
            <wp:extent cx="58420" cy="638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742950</wp:posOffset>
            </wp:positionV>
            <wp:extent cx="7046595" cy="49161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McDermott Dan</w:t>
        </w:r>
      </w:hyperlink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2425 OLYMPIC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AMC Networks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AMCX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 w:right="640" w:hanging="9"/>
        <w:spacing w:after="0" w:line="258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9"/>
        <w:spacing w:after="0"/>
        <w:tabs>
          <w:tab w:leader="none" w:pos="208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9"/>
        <w:spacing w:after="0"/>
        <w:tabs>
          <w:tab w:leader="none" w:pos="208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- Ent. &amp; AMC Studios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1" w:space="720"/>
            <w:col w:w="3349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90404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9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MONICA</w:t>
            </w: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AMC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Networks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62,814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03/11/2025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62,814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03/09/2028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62,814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180" w:firstLine="2"/>
        <w:spacing w:after="0" w:line="248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was granted on March 11, 2025 under the AMC Networks Inc. A&amp;R 2016 Employee Stock Plan and represents a right to receive one share of Class A Common Stock or the cash equivalent thereof. The RSUs will vest as follows: one-third of the RSUs will vest on March 9, 2026, one-third on March 9, 2027 and one-third on March 9, 2028.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Anne G. Kelly, attorney-in-fact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04/14/2025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-27305</wp:posOffset>
            </wp:positionV>
            <wp:extent cx="13303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Dan McDermott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-20320</wp:posOffset>
            </wp:positionV>
            <wp:extent cx="8502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2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5588000</wp:posOffset>
            </wp:positionH>
            <wp:positionV relativeFrom="paragraph">
              <wp:posOffset>-85725</wp:posOffset>
            </wp:positionV>
            <wp:extent cx="4845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82419" TargetMode="External"/><Relationship Id="rId14" Type="http://schemas.openxmlformats.org/officeDocument/2006/relationships/hyperlink" Target="http://www.sec.gov/cgi-bin/browse-edgar?action=getcompany&amp;CIK=00015149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2025-04-14T15:34:57Z</dcterms:created>
  <dcterms:modified xsi:type="dcterms:W3CDTF">2025-04-14T15:34:57Z</dcterms:modified>
</cp:coreProperties>
</file>