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1839595</wp:posOffset>
            </wp:positionH>
            <wp:positionV relativeFrom="paragraph">
              <wp:posOffset>57150</wp:posOffset>
            </wp:positionV>
            <wp:extent cx="34715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21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1847850</wp:posOffset>
            </wp:positionH>
            <wp:positionV relativeFrom="paragraph">
              <wp:posOffset>99060</wp:posOffset>
            </wp:positionV>
            <wp:extent cx="34721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72180" cy="8255"/>
                    </a:xfrm>
                    <a:prstGeom prst="rect">
                      <a:avLst/>
                    </a:prstGeom>
                    <a:noFill/>
                  </pic:spPr>
                </pic:pic>
              </a:graphicData>
            </a:graphic>
          </wp:anchor>
        </w:drawing>
      </w:r>
    </w:p>
    <w:p>
      <w:pPr>
        <w:spacing w:after="0" w:line="357"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71"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49"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17, 2023</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1-35106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1839595</wp:posOffset>
            </wp:positionH>
            <wp:positionV relativeFrom="paragraph">
              <wp:posOffset>242570</wp:posOffset>
            </wp:positionV>
            <wp:extent cx="34715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tbl>
      <w:tblPr>
        <w:tblLayout w:type="fixed"/>
        <w:tblInd w:w="520" w:type="dxa"/>
        <w:tblCellMar>
          <w:top w:w="0" w:type="dxa"/>
          <w:left w:w="0" w:type="dxa"/>
          <w:bottom w:w="0" w:type="dxa"/>
          <w:right w:w="0" w:type="dxa"/>
        </w:tblCellMar>
      </w:tblPr>
      <w:tr>
        <w:trPr>
          <w:trHeight w:val="360"/>
        </w:trPr>
        <w:tc>
          <w:tcPr>
            <w:tcW w:w="2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29"/>
                <w:szCs w:val="29"/>
                <w:b w:val="1"/>
                <w:bCs w:val="1"/>
                <w:color w:val="auto"/>
                <w:w w:val="98"/>
              </w:rPr>
              <w:t>AMC Networks Inc.</w:t>
            </w:r>
          </w:p>
        </w:tc>
        <w:tc>
          <w:tcPr>
            <w:tcW w:w="13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12"/>
        </w:trPr>
        <w:tc>
          <w:tcPr>
            <w:tcW w:w="2400" w:type="dxa"/>
            <w:vAlign w:val="bottom"/>
          </w:tcPr>
          <w:p>
            <w:pPr>
              <w:spacing w:after="0"/>
              <w:rPr>
                <w:sz w:val="18"/>
                <w:szCs w:val="18"/>
                <w:color w:val="auto"/>
              </w:rPr>
            </w:pPr>
          </w:p>
        </w:tc>
        <w:tc>
          <w:tcPr>
            <w:tcW w:w="7220" w:type="dxa"/>
            <w:vAlign w:val="bottom"/>
            <w:gridSpan w:val="4"/>
          </w:tcPr>
          <w:p>
            <w:pPr>
              <w:jc w:val="center"/>
              <w:ind w:right="180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r>
      <w:tr>
        <w:trPr>
          <w:trHeight w:val="128"/>
        </w:trPr>
        <w:tc>
          <w:tcPr>
            <w:tcW w:w="2400" w:type="dxa"/>
            <w:vAlign w:val="bottom"/>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280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1760" w:type="dxa"/>
            <w:vAlign w:val="bottom"/>
          </w:tcPr>
          <w:p>
            <w:pPr>
              <w:spacing w:after="0"/>
              <w:rPr>
                <w:sz w:val="11"/>
                <w:szCs w:val="11"/>
                <w:color w:val="auto"/>
              </w:rPr>
            </w:pPr>
          </w:p>
        </w:tc>
      </w:tr>
      <w:tr>
        <w:trPr>
          <w:trHeight w:val="387"/>
        </w:trPr>
        <w:tc>
          <w:tcPr>
            <w:tcW w:w="3680" w:type="dxa"/>
            <w:vAlign w:val="bottom"/>
            <w:gridSpan w:val="2"/>
          </w:tcPr>
          <w:p>
            <w:pPr>
              <w:jc w:val="center"/>
              <w:ind w:left="85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800" w:type="dxa"/>
            <w:vAlign w:val="bottom"/>
          </w:tcPr>
          <w:p>
            <w:pPr>
              <w:spacing w:after="0"/>
              <w:rPr>
                <w:sz w:val="24"/>
                <w:szCs w:val="24"/>
                <w:color w:val="auto"/>
              </w:rPr>
            </w:pPr>
          </w:p>
        </w:tc>
        <w:tc>
          <w:tcPr>
            <w:tcW w:w="3140" w:type="dxa"/>
            <w:vAlign w:val="bottom"/>
            <w:gridSpan w:val="2"/>
          </w:tcPr>
          <w:p>
            <w:pPr>
              <w:jc w:val="right"/>
              <w:ind w:right="1300"/>
              <w:spacing w:after="0"/>
              <w:rPr>
                <w:sz w:val="20"/>
                <w:szCs w:val="20"/>
                <w:color w:val="auto"/>
              </w:rPr>
            </w:pPr>
            <w:r>
              <w:rPr>
                <w:rFonts w:ascii="Times New Roman" w:cs="Times New Roman" w:eastAsia="Times New Roman" w:hAnsi="Times New Roman"/>
                <w:sz w:val="18"/>
                <w:szCs w:val="18"/>
                <w:b w:val="1"/>
                <w:bCs w:val="1"/>
                <w:color w:val="auto"/>
              </w:rPr>
              <w:t>27-5403694</w:t>
            </w:r>
          </w:p>
        </w:tc>
      </w:tr>
      <w:tr>
        <w:trPr>
          <w:trHeight w:val="148"/>
        </w:trPr>
        <w:tc>
          <w:tcPr>
            <w:tcW w:w="3680" w:type="dxa"/>
            <w:vAlign w:val="bottom"/>
            <w:gridSpan w:val="2"/>
          </w:tcPr>
          <w:p>
            <w:pPr>
              <w:jc w:val="center"/>
              <w:ind w:left="8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800" w:type="dxa"/>
            <w:vAlign w:val="bottom"/>
          </w:tcPr>
          <w:p>
            <w:pPr>
              <w:spacing w:after="0"/>
              <w:rPr>
                <w:sz w:val="12"/>
                <w:szCs w:val="12"/>
                <w:color w:val="auto"/>
              </w:rPr>
            </w:pPr>
          </w:p>
        </w:tc>
        <w:tc>
          <w:tcPr>
            <w:tcW w:w="31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680" w:type="dxa"/>
            <w:vAlign w:val="bottom"/>
            <w:gridSpan w:val="2"/>
          </w:tcPr>
          <w:p>
            <w:pPr>
              <w:jc w:val="center"/>
              <w:ind w:left="85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800" w:type="dxa"/>
            <w:vAlign w:val="bottom"/>
          </w:tcPr>
          <w:p>
            <w:pPr>
              <w:spacing w:after="0"/>
              <w:rPr>
                <w:sz w:val="16"/>
                <w:szCs w:val="16"/>
                <w:color w:val="auto"/>
              </w:rPr>
            </w:pPr>
          </w:p>
        </w:tc>
        <w:tc>
          <w:tcPr>
            <w:tcW w:w="3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85"/>
        </w:trPr>
        <w:tc>
          <w:tcPr>
            <w:tcW w:w="3680" w:type="dxa"/>
            <w:vAlign w:val="bottom"/>
            <w:gridSpan w:val="2"/>
          </w:tcPr>
          <w:p>
            <w:pPr>
              <w:jc w:val="center"/>
              <w:ind w:left="859"/>
              <w:spacing w:after="0"/>
              <w:rPr>
                <w:sz w:val="20"/>
                <w:szCs w:val="20"/>
                <w:color w:val="auto"/>
              </w:rPr>
            </w:pPr>
            <w:r>
              <w:rPr>
                <w:rFonts w:ascii="Times New Roman" w:cs="Times New Roman" w:eastAsia="Times New Roman" w:hAnsi="Times New Roman"/>
                <w:sz w:val="18"/>
                <w:szCs w:val="18"/>
                <w:b w:val="1"/>
                <w:bCs w:val="1"/>
                <w:color w:val="auto"/>
                <w:w w:val="97"/>
              </w:rPr>
              <w:t>11 Penn Plaza,</w:t>
            </w:r>
          </w:p>
        </w:tc>
        <w:tc>
          <w:tcPr>
            <w:tcW w:w="28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27"/>
        </w:trPr>
        <w:tc>
          <w:tcPr>
            <w:tcW w:w="3680" w:type="dxa"/>
            <w:vAlign w:val="bottom"/>
            <w:gridSpan w:val="2"/>
          </w:tcPr>
          <w:p>
            <w:pPr>
              <w:ind w:left="1460"/>
              <w:spacing w:after="0"/>
              <w:rPr>
                <w:sz w:val="20"/>
                <w:szCs w:val="20"/>
                <w:color w:val="auto"/>
              </w:rPr>
            </w:pPr>
            <w:r>
              <w:rPr>
                <w:rFonts w:ascii="Times New Roman" w:cs="Times New Roman" w:eastAsia="Times New Roman" w:hAnsi="Times New Roman"/>
                <w:sz w:val="18"/>
                <w:szCs w:val="18"/>
                <w:b w:val="1"/>
                <w:bCs w:val="1"/>
                <w:color w:val="auto"/>
              </w:rPr>
              <w:t>New York, NY</w:t>
            </w:r>
          </w:p>
        </w:tc>
        <w:tc>
          <w:tcPr>
            <w:tcW w:w="2800" w:type="dxa"/>
            <w:vAlign w:val="bottom"/>
          </w:tcPr>
          <w:p>
            <w:pPr>
              <w:spacing w:after="0"/>
              <w:rPr>
                <w:sz w:val="19"/>
                <w:szCs w:val="19"/>
                <w:color w:val="auto"/>
              </w:rPr>
            </w:pPr>
          </w:p>
        </w:tc>
        <w:tc>
          <w:tcPr>
            <w:tcW w:w="3140" w:type="dxa"/>
            <w:vAlign w:val="bottom"/>
            <w:gridSpan w:val="2"/>
          </w:tcPr>
          <w:p>
            <w:pPr>
              <w:jc w:val="right"/>
              <w:ind w:right="1500"/>
              <w:spacing w:after="0"/>
              <w:rPr>
                <w:sz w:val="20"/>
                <w:szCs w:val="20"/>
                <w:color w:val="auto"/>
              </w:rPr>
            </w:pPr>
            <w:r>
              <w:rPr>
                <w:rFonts w:ascii="Times New Roman" w:cs="Times New Roman" w:eastAsia="Times New Roman" w:hAnsi="Times New Roman"/>
                <w:sz w:val="18"/>
                <w:szCs w:val="18"/>
                <w:b w:val="1"/>
                <w:bCs w:val="1"/>
                <w:color w:val="auto"/>
              </w:rPr>
              <w:t>10001</w:t>
            </w:r>
          </w:p>
        </w:tc>
      </w:tr>
      <w:tr>
        <w:trPr>
          <w:trHeight w:val="190"/>
        </w:trPr>
        <w:tc>
          <w:tcPr>
            <w:tcW w:w="3680" w:type="dxa"/>
            <w:vAlign w:val="bottom"/>
            <w:gridSpan w:val="2"/>
          </w:tcPr>
          <w:p>
            <w:pPr>
              <w:jc w:val="center"/>
              <w:ind w:left="8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800" w:type="dxa"/>
            <w:vAlign w:val="bottom"/>
          </w:tcPr>
          <w:p>
            <w:pPr>
              <w:spacing w:after="0"/>
              <w:rPr>
                <w:sz w:val="16"/>
                <w:szCs w:val="16"/>
                <w:color w:val="auto"/>
              </w:rPr>
            </w:pPr>
          </w:p>
        </w:tc>
        <w:tc>
          <w:tcPr>
            <w:tcW w:w="3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606"/>
        </w:trPr>
        <w:tc>
          <w:tcPr>
            <w:tcW w:w="2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(212) 324-8500</w:t>
            </w:r>
          </w:p>
        </w:tc>
        <w:tc>
          <w:tcPr>
            <w:tcW w:w="13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90"/>
        </w:trPr>
        <w:tc>
          <w:tcPr>
            <w:tcW w:w="2400" w:type="dxa"/>
            <w:vAlign w:val="bottom"/>
          </w:tcPr>
          <w:p>
            <w:pPr>
              <w:spacing w:after="0"/>
              <w:rPr>
                <w:sz w:val="16"/>
                <w:szCs w:val="16"/>
                <w:color w:val="auto"/>
              </w:rPr>
            </w:pPr>
          </w:p>
        </w:tc>
        <w:tc>
          <w:tcPr>
            <w:tcW w:w="7220" w:type="dxa"/>
            <w:vAlign w:val="bottom"/>
            <w:gridSpan w:val="4"/>
          </w:tcPr>
          <w:p>
            <w:pPr>
              <w:jc w:val="center"/>
              <w:ind w:right="18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r>
        <w:trPr>
          <w:trHeight w:val="419"/>
        </w:trPr>
        <w:tc>
          <w:tcPr>
            <w:tcW w:w="2400" w:type="dxa"/>
            <w:vAlign w:val="bottom"/>
          </w:tcPr>
          <w:p>
            <w:pPr>
              <w:spacing w:after="0"/>
              <w:rPr>
                <w:sz w:val="24"/>
                <w:szCs w:val="24"/>
                <w:color w:val="auto"/>
              </w:rPr>
            </w:pPr>
          </w:p>
        </w:tc>
        <w:tc>
          <w:tcPr>
            <w:tcW w:w="7220" w:type="dxa"/>
            <w:vAlign w:val="bottom"/>
            <w:gridSpan w:val="4"/>
          </w:tcPr>
          <w:p>
            <w:pPr>
              <w:jc w:val="center"/>
              <w:ind w:right="182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r>
      <w:tr>
        <w:trPr>
          <w:trHeight w:val="476"/>
        </w:trPr>
        <w:tc>
          <w:tcPr>
            <w:tcW w:w="3680" w:type="dxa"/>
            <w:vAlign w:val="bottom"/>
            <w:gridSpan w:val="2"/>
          </w:tcPr>
          <w:p>
            <w:pPr>
              <w:jc w:val="center"/>
              <w:ind w:right="345"/>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800" w:type="dxa"/>
            <w:vAlign w:val="bottom"/>
          </w:tcPr>
          <w:p>
            <w:pPr>
              <w:jc w:val="center"/>
              <w:ind w:right="781"/>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1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16"/>
        </w:trPr>
        <w:tc>
          <w:tcPr>
            <w:tcW w:w="3680" w:type="dxa"/>
            <w:vAlign w:val="bottom"/>
            <w:gridSpan w:val="2"/>
          </w:tcPr>
          <w:p>
            <w:pPr>
              <w:jc w:val="center"/>
              <w:ind w:right="345"/>
              <w:spacing w:after="0"/>
              <w:rPr>
                <w:sz w:val="20"/>
                <w:szCs w:val="20"/>
                <w:color w:val="auto"/>
              </w:rPr>
            </w:pPr>
            <w:r>
              <w:rPr>
                <w:rFonts w:ascii="Times New Roman" w:cs="Times New Roman" w:eastAsia="Times New Roman" w:hAnsi="Times New Roman"/>
                <w:sz w:val="16"/>
                <w:szCs w:val="16"/>
                <w:color w:val="auto"/>
              </w:rPr>
              <w:t>Class A Common Stock, par value $0.01 per share</w:t>
            </w:r>
          </w:p>
        </w:tc>
        <w:tc>
          <w:tcPr>
            <w:tcW w:w="2800" w:type="dxa"/>
            <w:vAlign w:val="bottom"/>
          </w:tcPr>
          <w:p>
            <w:pPr>
              <w:jc w:val="center"/>
              <w:ind w:right="781"/>
              <w:spacing w:after="0"/>
              <w:rPr>
                <w:sz w:val="20"/>
                <w:szCs w:val="20"/>
                <w:color w:val="auto"/>
              </w:rPr>
            </w:pPr>
            <w:r>
              <w:rPr>
                <w:rFonts w:ascii="Times New Roman" w:cs="Times New Roman" w:eastAsia="Times New Roman" w:hAnsi="Times New Roman"/>
                <w:sz w:val="16"/>
                <w:szCs w:val="16"/>
                <w:color w:val="auto"/>
                <w:w w:val="99"/>
              </w:rPr>
              <w:t>AMCX</w:t>
            </w:r>
          </w:p>
        </w:tc>
        <w:tc>
          <w:tcPr>
            <w:tcW w:w="31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35"/>
        </w:trPr>
        <w:tc>
          <w:tcPr>
            <w:tcW w:w="240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760" w:type="dxa"/>
            <w:vAlign w:val="bottom"/>
          </w:tcPr>
          <w:p>
            <w:pPr>
              <w:spacing w:after="0"/>
              <w:rPr>
                <w:sz w:val="20"/>
                <w:szCs w:val="20"/>
                <w:color w:val="auto"/>
              </w:rPr>
            </w:pPr>
          </w:p>
        </w:tc>
      </w:tr>
    </w:tbl>
    <w:p>
      <w:pPr>
        <w:spacing w:after="0" w:line="200" w:lineRule="exact"/>
        <w:rPr>
          <w:sz w:val="24"/>
          <w:szCs w:val="24"/>
          <w:color w:val="auto"/>
        </w:rPr>
      </w:pPr>
    </w:p>
    <w:p>
      <w:pPr>
        <w:spacing w:after="0" w:line="322" w:lineRule="exact"/>
        <w:rPr>
          <w:sz w:val="24"/>
          <w:szCs w:val="24"/>
          <w:color w:val="auto"/>
        </w:rPr>
      </w:pPr>
    </w:p>
    <w:p>
      <w:pPr>
        <w:ind w:right="68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66" w:lineRule="exact"/>
        <w:rPr>
          <w:sz w:val="24"/>
          <w:szCs w:val="24"/>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532765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08" w:lineRule="exact"/>
        <w:rPr>
          <w:sz w:val="20"/>
          <w:szCs w:val="20"/>
          <w:color w:val="auto"/>
        </w:rPr>
      </w:pPr>
    </w:p>
    <w:p>
      <w:pPr>
        <w:jc w:val="both"/>
        <w:ind w:right="20" w:firstLine="445"/>
        <w:spacing w:after="0" w:line="266" w:lineRule="auto"/>
        <w:rPr>
          <w:sz w:val="20"/>
          <w:szCs w:val="20"/>
          <w:color w:val="auto"/>
        </w:rPr>
      </w:pPr>
      <w:r>
        <w:rPr>
          <w:rFonts w:ascii="Times New Roman" w:cs="Times New Roman" w:eastAsia="Times New Roman" w:hAnsi="Times New Roman"/>
          <w:sz w:val="18"/>
          <w:szCs w:val="18"/>
          <w:color w:val="auto"/>
        </w:rPr>
        <w:t>On February 17, 2023, AMC Networks Inc. (the “Registrant”) issued a press release announcing its financial results for the quarter and year ended December 31, 2022. A copy of the Registrant’s press release is being furnished herewith as Exhibit 99.1 and is incorporated herein by reference in its entirety.</w:t>
      </w:r>
    </w:p>
    <w:p>
      <w:pPr>
        <w:spacing w:after="0" w:line="6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information furnished pursuant to this Item 2.02, including Exhibit 99.1, shall not be deemed “filed” for purposes of Section 18 of the Securities Exchange Act of 1934 (the “Exchange Act”) or otherwise subject to the liabilities under that Section and shall not be deemed to be incorporated by reference into any filing of the Registrant under the Securities Act of 1933 or the Exchange Act.</w:t>
      </w:r>
    </w:p>
    <w:p>
      <w:pPr>
        <w:spacing w:after="0" w:line="200" w:lineRule="exact"/>
        <w:rPr>
          <w:sz w:val="20"/>
          <w:szCs w:val="20"/>
          <w:color w:val="auto"/>
        </w:rPr>
      </w:pPr>
    </w:p>
    <w:p>
      <w:pPr>
        <w:spacing w:after="0" w:line="201"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 Exhibits. The following Exhibit is furnished as part of this Report on Form 8-K:</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0" w:type="dxa"/>
            <w:vAlign w:val="bottom"/>
          </w:tcPr>
          <w:p>
            <w:pPr>
              <w:spacing w:after="0"/>
              <w:rPr>
                <w:sz w:val="16"/>
                <w:szCs w:val="16"/>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color w:val="auto"/>
              </w:rPr>
              <w:t>Exhibit Number</w:t>
            </w:r>
          </w:p>
        </w:tc>
        <w:tc>
          <w:tcPr>
            <w:tcW w:w="1460" w:type="dxa"/>
            <w:vAlign w:val="bottom"/>
          </w:tcPr>
          <w:p>
            <w:pPr>
              <w:spacing w:after="0"/>
              <w:rPr>
                <w:sz w:val="16"/>
                <w:szCs w:val="16"/>
                <w:color w:val="auto"/>
              </w:rPr>
            </w:pPr>
          </w:p>
        </w:tc>
        <w:tc>
          <w:tcPr>
            <w:tcW w:w="8180" w:type="dxa"/>
            <w:vAlign w:val="bottom"/>
            <w:gridSpan w:val="4"/>
          </w:tcPr>
          <w:p>
            <w:pPr>
              <w:ind w:left="3200"/>
              <w:spacing w:after="0"/>
              <w:rPr>
                <w:sz w:val="20"/>
                <w:szCs w:val="20"/>
                <w:color w:val="auto"/>
              </w:rPr>
            </w:pPr>
            <w:r>
              <w:rPr>
                <w:rFonts w:ascii="Times New Roman" w:cs="Times New Roman" w:eastAsia="Times New Roman" w:hAnsi="Times New Roman"/>
                <w:sz w:val="16"/>
                <w:szCs w:val="16"/>
                <w:color w:val="auto"/>
              </w:rPr>
              <w:t>Item</w:t>
            </w:r>
          </w:p>
        </w:tc>
      </w:tr>
      <w:tr>
        <w:trPr>
          <w:trHeight w:val="20"/>
        </w:trPr>
        <w:tc>
          <w:tcPr>
            <w:tcW w:w="2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80"/>
        </w:trPr>
        <w:tc>
          <w:tcPr>
            <w:tcW w:w="200" w:type="dxa"/>
            <w:vAlign w:val="bottom"/>
          </w:tcPr>
          <w:p>
            <w:pPr>
              <w:spacing w:after="0"/>
              <w:rPr>
                <w:sz w:val="24"/>
                <w:szCs w:val="24"/>
                <w:color w:val="auto"/>
              </w:rPr>
            </w:pPr>
          </w:p>
        </w:tc>
        <w:tc>
          <w:tcPr>
            <w:tcW w:w="104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99.1</w:t>
            </w:r>
          </w:p>
        </w:tc>
        <w:tc>
          <w:tcPr>
            <w:tcW w:w="360" w:type="dxa"/>
            <w:vAlign w:val="bottom"/>
          </w:tcPr>
          <w:p>
            <w:pPr>
              <w:spacing w:after="0"/>
              <w:rPr>
                <w:sz w:val="24"/>
                <w:szCs w:val="24"/>
                <w:color w:val="auto"/>
              </w:rPr>
            </w:pPr>
          </w:p>
        </w:tc>
        <w:tc>
          <w:tcPr>
            <w:tcW w:w="96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Press Release issued by the Registrant dated February 17, 2023 announcing its financial results for the quarter and year ended</w:t>
            </w:r>
          </w:p>
        </w:tc>
      </w:tr>
      <w:tr>
        <w:trPr>
          <w:trHeight w:val="155"/>
        </w:trPr>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60" w:type="dxa"/>
            <w:vAlign w:val="bottom"/>
            <w:tcBorders>
              <w:top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rPr>
              <w:t>December 31, 2022.</w:t>
            </w:r>
          </w:p>
        </w:tc>
        <w:tc>
          <w:tcPr>
            <w:tcW w:w="580" w:type="dxa"/>
            <w:vAlign w:val="bottom"/>
          </w:tcPr>
          <w:p>
            <w:pPr>
              <w:spacing w:after="0"/>
              <w:rPr>
                <w:sz w:val="13"/>
                <w:szCs w:val="13"/>
                <w:color w:val="auto"/>
              </w:rPr>
            </w:pPr>
          </w:p>
        </w:tc>
      </w:tr>
      <w:tr>
        <w:trPr>
          <w:trHeight w:val="1013"/>
        </w:trPr>
        <w:tc>
          <w:tcPr>
            <w:tcW w:w="2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460" w:type="dxa"/>
            <w:vAlign w:val="bottom"/>
            <w:tcBorders>
              <w:top w:val="single" w:sz="8" w:color="0000FF"/>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1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891"/>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AMC Networks Inc.</w:t>
            </w:r>
          </w:p>
        </w:tc>
      </w:tr>
      <w:tr>
        <w:trPr>
          <w:trHeight w:val="283"/>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17, 2023</w:t>
            </w:r>
          </w:p>
        </w:tc>
        <w:tc>
          <w:tcPr>
            <w:tcW w:w="7600" w:type="dxa"/>
            <w:vAlign w:val="bottom"/>
            <w:gridSpan w:val="2"/>
          </w:tcPr>
          <w:p>
            <w:pPr>
              <w:ind w:left="1680"/>
              <w:spacing w:after="0"/>
              <w:rPr>
                <w:sz w:val="20"/>
                <w:szCs w:val="20"/>
                <w:color w:val="auto"/>
              </w:rPr>
            </w:pPr>
            <w:r>
              <w:rPr>
                <w:rFonts w:ascii="Times New Roman" w:cs="Times New Roman" w:eastAsia="Times New Roman" w:hAnsi="Times New Roman"/>
                <w:sz w:val="18"/>
                <w:szCs w:val="18"/>
                <w:color w:val="auto"/>
              </w:rPr>
              <w:t>By: /s/ Michael J. Sherin III</w:t>
            </w:r>
          </w:p>
        </w:tc>
      </w:tr>
      <w:tr>
        <w:trPr>
          <w:trHeight w:val="218"/>
        </w:trPr>
        <w:tc>
          <w:tcPr>
            <w:tcW w:w="34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6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Michael J. Sherin III</w:t>
            </w:r>
          </w:p>
        </w:tc>
      </w:tr>
      <w:tr>
        <w:trPr>
          <w:trHeight w:val="234"/>
        </w:trPr>
        <w:tc>
          <w:tcPr>
            <w:tcW w:w="34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Accounting Officer</w:t>
            </w:r>
          </w:p>
        </w:tc>
      </w:tr>
    </w:tbl>
    <w:p>
      <w:pPr>
        <w:sectPr>
          <w:pgSz w:w="11900" w:h="16838" w:orient="portrait"/>
          <w:cols w:equalWidth="0" w:num="1">
            <w:col w:w="11240"/>
          </w:cols>
          <w:pgMar w:left="320" w:top="1130"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2488565</wp:posOffset>
            </wp:positionH>
            <wp:positionV relativeFrom="page">
              <wp:posOffset>808990</wp:posOffset>
            </wp:positionV>
            <wp:extent cx="2571750" cy="514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2571750" cy="51435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AMC NETWORKS INC. REPORTS FOURTH QUARTER AND FULL YEAR 2022 RESULTS</w:t>
      </w:r>
    </w:p>
    <w:p>
      <w:pPr>
        <w:spacing w:after="0" w:line="5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color w:val="auto"/>
        </w:rPr>
        <w:t xml:space="preserve">New York, NY – February 17, 2023: </w:t>
      </w:r>
      <w:r>
        <w:rPr>
          <w:rFonts w:ascii="Times New Roman" w:cs="Times New Roman" w:eastAsia="Times New Roman" w:hAnsi="Times New Roman"/>
          <w:sz w:val="18"/>
          <w:szCs w:val="18"/>
          <w:color w:val="auto"/>
        </w:rPr>
        <w:t>AMC Networks Inc. ("AMC Networks" or the "Company") (NASDAQ: AMCX) today reported financial results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fourth quarter and full year ended December 31, 2022.</w:t>
      </w:r>
    </w:p>
    <w:p>
      <w:pPr>
        <w:spacing w:after="0" w:line="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AMC Networks Interim Executive Chairman James L. Dolan said: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333333"/>
        </w:rPr>
        <w:t>AMC Networks is focused on maximizing the value of our high-quality, popular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333333"/>
        </w:rPr>
        <w:t>content through optimized content monetization as we reduce costs and drive cash flow. We believe this approach will position the company well to navigate current industry dynamics and enable us to generate long-term shareholder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Operational Highlights:</w:t>
      </w:r>
    </w:p>
    <w:p>
      <w:pPr>
        <w:spacing w:after="0" w:line="31" w:lineRule="exact"/>
        <w:rPr>
          <w:sz w:val="20"/>
          <w:szCs w:val="20"/>
          <w:color w:val="auto"/>
        </w:rPr>
      </w:pPr>
    </w:p>
    <w:p>
      <w:pPr>
        <w:ind w:left="340" w:hanging="332"/>
        <w:spacing w:after="0" w:line="250" w:lineRule="auto"/>
        <w:tabs>
          <w:tab w:leader="none" w:pos="3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Launched new Anne Rice Universe franchise with </w:t>
      </w:r>
      <w:r>
        <w:rPr>
          <w:rFonts w:ascii="Times New Roman" w:cs="Times New Roman" w:eastAsia="Times New Roman" w:hAnsi="Times New Roman"/>
          <w:sz w:val="18"/>
          <w:szCs w:val="18"/>
          <w:i w:val="1"/>
          <w:iCs w:val="1"/>
          <w:color w:val="auto"/>
        </w:rPr>
        <w:t>Anne Rice’s Interview with the Vampire</w:t>
      </w:r>
      <w:r>
        <w:rPr>
          <w:rFonts w:ascii="Times New Roman" w:cs="Times New Roman" w:eastAsia="Times New Roman" w:hAnsi="Times New Roman"/>
          <w:sz w:val="18"/>
          <w:szCs w:val="18"/>
          <w:color w:val="auto"/>
        </w:rPr>
        <w:t>, which became the #1 new series launch in AMC+ history and the #2 new basic cable drama in 2022.</w:t>
      </w:r>
    </w:p>
    <w:p>
      <w:pPr>
        <w:ind w:left="340" w:hanging="332"/>
        <w:spacing w:after="0" w:line="250" w:lineRule="auto"/>
        <w:tabs>
          <w:tab w:leader="none" w:pos="3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Kicked off 2023 with the second series in the franchise, </w:t>
      </w:r>
      <w:r>
        <w:rPr>
          <w:rFonts w:ascii="Times New Roman" w:cs="Times New Roman" w:eastAsia="Times New Roman" w:hAnsi="Times New Roman"/>
          <w:sz w:val="18"/>
          <w:szCs w:val="18"/>
          <w:i w:val="1"/>
          <w:iCs w:val="1"/>
          <w:color w:val="auto"/>
        </w:rPr>
        <w:t>Anne Rice’s Mayfair Witches</w:t>
      </w:r>
      <w:r>
        <w:rPr>
          <w:rFonts w:ascii="Times New Roman" w:cs="Times New Roman" w:eastAsia="Times New Roman" w:hAnsi="Times New Roman"/>
          <w:sz w:val="18"/>
          <w:szCs w:val="18"/>
          <w:color w:val="auto"/>
        </w:rPr>
        <w:t xml:space="preserve">, which is pacing to become the most viewed single season of any show on AMC+, topping </w:t>
      </w:r>
      <w:r>
        <w:rPr>
          <w:rFonts w:ascii="Times New Roman" w:cs="Times New Roman" w:eastAsia="Times New Roman" w:hAnsi="Times New Roman"/>
          <w:sz w:val="18"/>
          <w:szCs w:val="18"/>
          <w:i w:val="1"/>
          <w:iCs w:val="1"/>
          <w:color w:val="auto"/>
        </w:rPr>
        <w:t>Interview’s</w:t>
      </w:r>
      <w:r>
        <w:rPr>
          <w:rFonts w:ascii="Times New Roman" w:cs="Times New Roman" w:eastAsia="Times New Roman" w:hAnsi="Times New Roman"/>
          <w:sz w:val="18"/>
          <w:szCs w:val="18"/>
          <w:color w:val="auto"/>
        </w:rPr>
        <w:t xml:space="preserve"> performance, and is a Top 10 cable drama in the current broadcast season.</w:t>
      </w:r>
    </w:p>
    <w:p>
      <w:pPr>
        <w:ind w:left="320" w:hanging="312"/>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Renewed both </w:t>
      </w:r>
      <w:r>
        <w:rPr>
          <w:rFonts w:ascii="Times New Roman" w:cs="Times New Roman" w:eastAsia="Times New Roman" w:hAnsi="Times New Roman"/>
          <w:sz w:val="18"/>
          <w:szCs w:val="18"/>
          <w:i w:val="1"/>
          <w:iCs w:val="1"/>
          <w:color w:val="auto"/>
        </w:rPr>
        <w:t>Anne Rice’s Interview with the Vampire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Anne Rice’s Mayfair Witches</w:t>
      </w:r>
      <w:r>
        <w:rPr>
          <w:rFonts w:ascii="Times New Roman" w:cs="Times New Roman" w:eastAsia="Times New Roman" w:hAnsi="Times New Roman"/>
          <w:sz w:val="18"/>
          <w:szCs w:val="18"/>
          <w:color w:val="auto"/>
        </w:rPr>
        <w:t xml:space="preserve"> for second seasons.</w:t>
      </w:r>
    </w:p>
    <w:p>
      <w:pPr>
        <w:spacing w:after="0" w:line="9"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Premiered the final season of </w:t>
      </w:r>
      <w:r>
        <w:rPr>
          <w:rFonts w:ascii="Times New Roman" w:cs="Times New Roman" w:eastAsia="Times New Roman" w:hAnsi="Times New Roman"/>
          <w:sz w:val="18"/>
          <w:szCs w:val="18"/>
          <w:i w:val="1"/>
          <w:iCs w:val="1"/>
          <w:color w:val="auto"/>
        </w:rPr>
        <w:t>The Walking Dead</w:t>
      </w:r>
      <w:r>
        <w:rPr>
          <w:rFonts w:ascii="Times New Roman" w:cs="Times New Roman" w:eastAsia="Times New Roman" w:hAnsi="Times New Roman"/>
          <w:sz w:val="18"/>
          <w:szCs w:val="18"/>
          <w:color w:val="auto"/>
        </w:rPr>
        <w:t>, which concluded with AMC+’s highest single day of viewership ever and which commanded the series’ highest pricing in its 11-year run, demonstrating high audience engagement and advertiser demand for the franchise.</w:t>
      </w:r>
    </w:p>
    <w:p>
      <w:pPr>
        <w:ind w:left="320" w:hanging="312"/>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Bringing fans of The Walking Dead Universe a new season of </w:t>
      </w:r>
      <w:r>
        <w:rPr>
          <w:rFonts w:ascii="Times New Roman" w:cs="Times New Roman" w:eastAsia="Times New Roman" w:hAnsi="Times New Roman"/>
          <w:sz w:val="18"/>
          <w:szCs w:val="18"/>
          <w:i w:val="1"/>
          <w:iCs w:val="1"/>
          <w:color w:val="auto"/>
        </w:rPr>
        <w:t>Fear the Walking Dead</w:t>
      </w:r>
      <w:r>
        <w:rPr>
          <w:rFonts w:ascii="Times New Roman" w:cs="Times New Roman" w:eastAsia="Times New Roman" w:hAnsi="Times New Roman"/>
          <w:sz w:val="18"/>
          <w:szCs w:val="18"/>
          <w:color w:val="auto"/>
        </w:rPr>
        <w:t xml:space="preserve"> and two new series: </w:t>
      </w:r>
      <w:r>
        <w:rPr>
          <w:rFonts w:ascii="Times New Roman" w:cs="Times New Roman" w:eastAsia="Times New Roman" w:hAnsi="Times New Roman"/>
          <w:sz w:val="18"/>
          <w:szCs w:val="18"/>
          <w:i w:val="1"/>
          <w:iCs w:val="1"/>
          <w:color w:val="auto"/>
        </w:rPr>
        <w:t>The Walking Dead: Dead City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The</w:t>
      </w:r>
    </w:p>
    <w:p>
      <w:pPr>
        <w:spacing w:after="0" w:line="9"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Walking Dead: Daryl Dixon</w:t>
      </w:r>
      <w:r>
        <w:rPr>
          <w:rFonts w:ascii="Times New Roman" w:cs="Times New Roman" w:eastAsia="Times New Roman" w:hAnsi="Times New Roman"/>
          <w:sz w:val="18"/>
          <w:szCs w:val="18"/>
          <w:color w:val="auto"/>
        </w:rPr>
        <w:t>, in 2023.</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Renewed WE tv franchise hits </w:t>
      </w:r>
      <w:r>
        <w:rPr>
          <w:rFonts w:ascii="Times New Roman" w:cs="Times New Roman" w:eastAsia="Times New Roman" w:hAnsi="Times New Roman"/>
          <w:sz w:val="18"/>
          <w:szCs w:val="18"/>
          <w:i w:val="1"/>
          <w:iCs w:val="1"/>
          <w:color w:val="auto"/>
        </w:rPr>
        <w:t>Love After Lockup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Life After Lockup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Love During Lockup</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Growing Up Hip Hop</w:t>
      </w:r>
      <w:r>
        <w:rPr>
          <w:rFonts w:ascii="Times New Roman" w:cs="Times New Roman" w:eastAsia="Times New Roman" w:hAnsi="Times New Roman"/>
          <w:sz w:val="18"/>
          <w:szCs w:val="18"/>
          <w:color w:val="auto"/>
        </w:rPr>
        <w:t xml:space="preserve"> for new seasons.</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Renewed six multi-year carriage agreements, with Charter, Altice, Philo, Mediacom and WOW! for continued carriage of U.S. channel portfolio and with Bell for continued carriage of AMC in Canada.</w:t>
      </w:r>
    </w:p>
    <w:p>
      <w:pPr>
        <w:ind w:left="340" w:right="20" w:hanging="332"/>
        <w:spacing w:after="0" w:line="260" w:lineRule="auto"/>
        <w:tabs>
          <w:tab w:leader="none" w:pos="3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Tested innovative new pricing and packaging offer with Verizon’s +play Early Access, where Verizon mobile and 5G Home customers were offered 12 months of Netflix Premium for free with the purchase of a 12-month subscription to AMC+.</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Fourth Quarter Financial Highlights:</w:t>
      </w:r>
    </w:p>
    <w:p>
      <w:pPr>
        <w:spacing w:after="0" w:line="31" w:lineRule="exact"/>
        <w:rPr>
          <w:sz w:val="20"/>
          <w:szCs w:val="20"/>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increased 20% from the prior year to $965 million</w:t>
      </w:r>
    </w:p>
    <w:p>
      <w:pPr>
        <w:spacing w:after="0" w:line="9" w:lineRule="exact"/>
        <w:rPr>
          <w:rFonts w:ascii="Times New Roman" w:cs="Times New Roman" w:eastAsia="Times New Roman" w:hAnsi="Times New Roman"/>
          <w:sz w:val="18"/>
          <w:szCs w:val="18"/>
          <w:color w:val="auto"/>
        </w:rPr>
      </w:pPr>
    </w:p>
    <w:p>
      <w:pPr>
        <w:ind w:left="320" w:hanging="312"/>
        <w:spacing w:after="0" w:line="197" w:lineRule="auto"/>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loss of $392 million; Adjusted Operating Income</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increased 34% to $137 million</w:t>
      </w:r>
    </w:p>
    <w:p>
      <w:pPr>
        <w:ind w:left="320" w:hanging="312"/>
        <w:spacing w:after="0" w:line="196" w:lineRule="auto"/>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EPS of $(6.11); Adjusted EPS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of $2.52</w:t>
      </w: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provided by operating activities of $145 million; Free Cash Flow</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of $128 million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Full Year Financial Highlights:</w:t>
      </w:r>
    </w:p>
    <w:p>
      <w:pPr>
        <w:spacing w:after="0" w:line="7" w:lineRule="exact"/>
        <w:rPr>
          <w:sz w:val="20"/>
          <w:szCs w:val="20"/>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increased 1% from the prior year to $3,097 million</w:t>
      </w:r>
    </w:p>
    <w:p>
      <w:pPr>
        <w:spacing w:after="0" w:line="9"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Streaming revenues increased 35% to $502 million; 11.8 million subscribers as of December 31, 2022</w:t>
      </w:r>
    </w:p>
    <w:p>
      <w:pPr>
        <w:spacing w:after="0" w:line="9" w:lineRule="exact"/>
        <w:rPr>
          <w:rFonts w:ascii="Times New Roman" w:cs="Times New Roman" w:eastAsia="Times New Roman" w:hAnsi="Times New Roman"/>
          <w:sz w:val="18"/>
          <w:szCs w:val="18"/>
          <w:color w:val="auto"/>
        </w:rPr>
      </w:pPr>
    </w:p>
    <w:p>
      <w:pPr>
        <w:ind w:left="320" w:hanging="312"/>
        <w:spacing w:after="0" w:line="197" w:lineRule="auto"/>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of $87 million; Adjusted Operating Income</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of $738 million</w:t>
      </w:r>
    </w:p>
    <w:p>
      <w:pPr>
        <w:ind w:left="320" w:hanging="312"/>
        <w:spacing w:after="0" w:line="196" w:lineRule="auto"/>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EPS of $0.17; Adjusted EPS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of $9.21</w:t>
      </w: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provided by operating activities of $182 million; Free Cash Flow</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of $103 million</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6"/>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20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6"/>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Twelve Months Ended December 31,</w:t>
            </w:r>
          </w:p>
        </w:tc>
        <w:tc>
          <w:tcPr>
            <w:tcW w:w="180" w:type="dxa"/>
            <w:vAlign w:val="bottom"/>
            <w:tcBorders>
              <w:bottom w:val="single" w:sz="8" w:color="auto"/>
            </w:tcBorders>
          </w:tcPr>
          <w:p>
            <w:pPr>
              <w:spacing w:after="0"/>
              <w:rPr>
                <w:sz w:val="18"/>
                <w:szCs w:val="18"/>
                <w:color w:val="auto"/>
              </w:rPr>
            </w:pPr>
          </w:p>
        </w:tc>
      </w:tr>
      <w:tr>
        <w:trPr>
          <w:trHeight w:val="236"/>
        </w:trPr>
        <w:tc>
          <w:tcPr>
            <w:tcW w:w="3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 except per share amounts</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Borders>
              <w:bottom w:val="single" w:sz="8" w:color="auto"/>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80" w:type="dxa"/>
            <w:vAlign w:val="bottom"/>
            <w:tcBorders>
              <w:bottom w:val="single" w:sz="8" w:color="auto"/>
            </w:tcBorders>
          </w:tcPr>
          <w:p>
            <w:pPr>
              <w:spacing w:after="0"/>
              <w:rPr>
                <w:sz w:val="20"/>
                <w:szCs w:val="20"/>
                <w:color w:val="auto"/>
              </w:rPr>
            </w:pPr>
          </w:p>
        </w:tc>
      </w:tr>
      <w:tr>
        <w:trPr>
          <w:trHeight w:val="213"/>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Revenues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964,520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803,709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20.0 %</w:t>
            </w:r>
          </w:p>
        </w:tc>
        <w:tc>
          <w:tcPr>
            <w:tcW w:w="3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3,096,545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3,077,608</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0.6 %</w:t>
            </w:r>
          </w:p>
        </w:tc>
      </w:tr>
      <w:tr>
        <w:trPr>
          <w:trHeight w:val="208"/>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 (Loss)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(391,641)</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63,632</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(715.5)%</w:t>
            </w:r>
          </w:p>
        </w:tc>
        <w:tc>
          <w:tcPr>
            <w:tcW w:w="3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86,916</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489,922</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(82.3)%</w:t>
            </w: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r>
      <w:tr>
        <w:trPr>
          <w:trHeight w:val="235"/>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Operating Income</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137,371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102,763</w:t>
            </w: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33.7 %</w:t>
            </w:r>
          </w:p>
        </w:tc>
        <w:tc>
          <w:tcPr>
            <w:tcW w:w="3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738,402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816,070</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(9.5)%</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gridSpan w:val="2"/>
          </w:tcPr>
          <w:p>
            <w:pPr>
              <w:spacing w:after="0" w:line="20" w:lineRule="exact"/>
              <w:rPr>
                <w:sz w:val="1"/>
                <w:szCs w:val="1"/>
                <w:color w:val="auto"/>
              </w:rPr>
            </w:pPr>
          </w:p>
        </w:tc>
      </w:tr>
      <w:tr>
        <w:trPr>
          <w:trHeight w:val="43"/>
        </w:trPr>
        <w:tc>
          <w:tcPr>
            <w:tcW w:w="39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0" w:type="dxa"/>
            <w:vAlign w:val="bottom"/>
          </w:tcPr>
          <w:p>
            <w:pPr>
              <w:spacing w:after="0"/>
              <w:rPr>
                <w:sz w:val="3"/>
                <w:szCs w:val="3"/>
                <w:color w:val="auto"/>
              </w:rPr>
            </w:pPr>
          </w:p>
        </w:tc>
      </w:tr>
      <w:tr>
        <w:trPr>
          <w:trHeight w:val="216"/>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Earnings (Loss) Per Share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0.39</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(1666.7) %</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(97.1) %</w:t>
            </w:r>
          </w:p>
        </w:tc>
      </w:tr>
      <w:tr>
        <w:trPr>
          <w:trHeight w:val="213"/>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Earnings Per Share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366.7</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9.21</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9.64</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(4.5) %</w:t>
            </w:r>
          </w:p>
        </w:tc>
      </w:tr>
      <w:tr>
        <w:trPr>
          <w:trHeight w:val="97"/>
        </w:trPr>
        <w:tc>
          <w:tcPr>
            <w:tcW w:w="39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r>
      <w:tr>
        <w:trPr>
          <w:trHeight w:val="213"/>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145,243</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99,490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181,834</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143,474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Free Cash Flow</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127,756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72,379</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102,605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71,488</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00" w:lineRule="exact"/>
        <w:rPr>
          <w:sz w:val="20"/>
          <w:szCs w:val="20"/>
          <w:color w:val="auto"/>
        </w:rPr>
      </w:pPr>
    </w:p>
    <w:p>
      <w:pPr>
        <w:spacing w:after="0" w:line="277" w:lineRule="exact"/>
        <w:rPr>
          <w:sz w:val="20"/>
          <w:szCs w:val="20"/>
          <w:color w:val="auto"/>
        </w:rPr>
      </w:pPr>
    </w:p>
    <w:p>
      <w:pPr>
        <w:ind w:left="420" w:right="80" w:hanging="412"/>
        <w:spacing w:after="0" w:line="261" w:lineRule="auto"/>
        <w:tabs>
          <w:tab w:leader="none" w:pos="219"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page 6 of this earnings release for a discussion of non-GAAP financial measures used in this release. This discussion includes the definition of Adjusted Operating Income, Adjusted EPS and Free Cash Flow.</w:t>
      </w:r>
    </w:p>
    <w:p>
      <w:pPr>
        <w:jc w:val="center"/>
        <w:ind w:right="40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40" w:right="339" w:bottom="1440" w:gutter="0" w:footer="0" w:header="0"/>
        </w:sectPr>
      </w:pPr>
    </w:p>
    <w:bookmarkStart w:id="4" w:name="page5"/>
    <w:bookmarkEnd w:id="4"/>
    <w:p>
      <w:pPr>
        <w:spacing w:after="0" w:line="3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u w:val="single" w:color="auto"/>
          <w:color w:val="auto"/>
        </w:rPr>
        <w:t>Segment Results:</w:t>
      </w:r>
    </w:p>
    <w:p>
      <w:pPr>
        <w:spacing w:after="0" w:line="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6"/>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6"/>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Twelve Months Ended December 31,</w:t>
            </w:r>
          </w:p>
        </w:tc>
      </w:tr>
      <w:tr>
        <w:trPr>
          <w:trHeight w:val="236"/>
        </w:trPr>
        <w:tc>
          <w:tcPr>
            <w:tcW w:w="4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20"/>
                <w:szCs w:val="20"/>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60" w:type="dxa"/>
            <w:vAlign w:val="bottom"/>
          </w:tcPr>
          <w:p>
            <w:pPr>
              <w:spacing w:after="0"/>
              <w:rPr>
                <w:sz w:val="20"/>
                <w:szCs w:val="20"/>
                <w:color w:val="auto"/>
              </w:rPr>
            </w:pPr>
          </w:p>
        </w:tc>
        <w:tc>
          <w:tcPr>
            <w:tcW w:w="86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20"/>
                <w:szCs w:val="20"/>
                <w:color w:val="auto"/>
              </w:rPr>
            </w:pPr>
          </w:p>
        </w:tc>
        <w:tc>
          <w:tcPr>
            <w:tcW w:w="9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99"/>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Revenues:</w:t>
            </w: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r>
      <w:tr>
        <w:trPr>
          <w:trHeight w:val="213"/>
        </w:trPr>
        <w:tc>
          <w:tcPr>
            <w:tcW w:w="41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Domestic Operations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861,108</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684,886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25.7 %</w:t>
            </w:r>
          </w:p>
        </w:tc>
        <w:tc>
          <w:tcPr>
            <w:tcW w:w="3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2,675,142</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2,580,616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3.7 %</w:t>
            </w:r>
          </w:p>
        </w:tc>
      </w:tr>
      <w:tr>
        <w:trPr>
          <w:trHeight w:val="219"/>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International and Other</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107,633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121,933</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442,525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511,317</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r>
      <w:tr>
        <w:trPr>
          <w:trHeight w:val="213"/>
        </w:trPr>
        <w:tc>
          <w:tcPr>
            <w:tcW w:w="41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Inter-segment Eliminations</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(4,221)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(3,110)</w:t>
            </w:r>
          </w:p>
        </w:tc>
        <w:tc>
          <w:tcPr>
            <w:tcW w:w="10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3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(21,122)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(14,325)</w:t>
            </w:r>
          </w:p>
        </w:tc>
        <w:tc>
          <w:tcPr>
            <w:tcW w:w="10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(47.4)%</w:t>
            </w:r>
          </w:p>
        </w:tc>
      </w:tr>
      <w:tr>
        <w:trPr>
          <w:trHeight w:val="234"/>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Net Revenues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964,520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803,709</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20.0 %</w:t>
            </w:r>
          </w:p>
        </w:tc>
        <w:tc>
          <w:tcPr>
            <w:tcW w:w="3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3,096,545</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3,077,608</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0.6 %</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r>
      <w:tr>
        <w:trPr>
          <w:trHeight w:val="490"/>
        </w:trPr>
        <w:tc>
          <w:tcPr>
            <w:tcW w:w="4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1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 (Loss):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3"/>
        </w:trPr>
        <w:tc>
          <w:tcPr>
            <w:tcW w:w="41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Domestic Operations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(287,426)</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(387.4)%</w:t>
            </w:r>
          </w:p>
        </w:tc>
        <w:tc>
          <w:tcPr>
            <w:tcW w:w="3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286,517</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617,875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(53.6)%</w:t>
            </w:r>
          </w:p>
        </w:tc>
      </w:tr>
      <w:tr>
        <w:trPr>
          <w:trHeight w:val="219"/>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International and Other</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4,802</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(864.3)%</w:t>
            </w: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37,167</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w:t>
            </w:r>
          </w:p>
        </w:tc>
      </w:tr>
      <w:tr>
        <w:trPr>
          <w:trHeight w:val="213"/>
        </w:trPr>
        <w:tc>
          <w:tcPr>
            <w:tcW w:w="41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Corporate / Inter-segment Eliminations</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(67,513)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(41,171)</w:t>
            </w:r>
          </w:p>
        </w:tc>
        <w:tc>
          <w:tcPr>
            <w:tcW w:w="10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(64.0)%</w:t>
            </w:r>
          </w:p>
        </w:tc>
        <w:tc>
          <w:tcPr>
            <w:tcW w:w="3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(202,632)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(165,120)</w:t>
            </w:r>
          </w:p>
        </w:tc>
        <w:tc>
          <w:tcPr>
            <w:tcW w:w="10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(22.7)%</w:t>
            </w:r>
          </w:p>
        </w:tc>
      </w:tr>
      <w:tr>
        <w:trPr>
          <w:trHeight w:val="234"/>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Operating Income (Loss)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(391,641)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63,632</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(715.5)%</w:t>
            </w:r>
          </w:p>
        </w:tc>
        <w:tc>
          <w:tcPr>
            <w:tcW w:w="3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86,916</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489,922</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r>
      <w:tr>
        <w:trPr>
          <w:trHeight w:val="490"/>
        </w:trPr>
        <w:tc>
          <w:tcPr>
            <w:tcW w:w="4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1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Operating Income (Loss):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3"/>
        </w:trPr>
        <w:tc>
          <w:tcPr>
            <w:tcW w:w="41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Domestic Operations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153,987</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121,692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26.5 %</w:t>
            </w:r>
          </w:p>
        </w:tc>
        <w:tc>
          <w:tcPr>
            <w:tcW w:w="3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789,396</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845,441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219"/>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International and Other</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12,517</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7.7 %</w:t>
            </w: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68,989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83,294</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r>
      <w:tr>
        <w:trPr>
          <w:trHeight w:val="213"/>
        </w:trPr>
        <w:tc>
          <w:tcPr>
            <w:tcW w:w="41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Corporate / Inter-segment Eliminations</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(30,096)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(31,446)</w:t>
            </w:r>
          </w:p>
        </w:tc>
        <w:tc>
          <w:tcPr>
            <w:tcW w:w="10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4.3 %</w:t>
            </w:r>
          </w:p>
        </w:tc>
        <w:tc>
          <w:tcPr>
            <w:tcW w:w="3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(119,983)</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(112,665)</w:t>
            </w:r>
          </w:p>
        </w:tc>
        <w:tc>
          <w:tcPr>
            <w:tcW w:w="10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(6.5)%</w:t>
            </w:r>
          </w:p>
        </w:tc>
      </w:tr>
      <w:tr>
        <w:trPr>
          <w:trHeight w:val="234"/>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Adjusted Operating Income</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137,371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102,763</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33.7 %</w:t>
            </w:r>
          </w:p>
        </w:tc>
        <w:tc>
          <w:tcPr>
            <w:tcW w:w="3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738,402</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816,070</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Domestic Operations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Fourth Quarter Results:</w:t>
      </w:r>
    </w:p>
    <w:p>
      <w:pPr>
        <w:spacing w:after="0" w:line="198" w:lineRule="exact"/>
        <w:rPr>
          <w:sz w:val="20"/>
          <w:szCs w:val="20"/>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Operations' revenues increased 26% from the prior year to $861 million.</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and other revenues increased 45% to $655 million.</w:t>
      </w:r>
    </w:p>
    <w:p>
      <w:pPr>
        <w:spacing w:after="0" w:line="21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1003"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Content licensing revenues increased 152% to $300 million, due to the timing and availability of deliveries in the period, including the delivery of an AMC Studios produced series to a third party and the early delivery of episodes of </w:t>
      </w:r>
      <w:r>
        <w:rPr>
          <w:rFonts w:ascii="Times New Roman" w:cs="Times New Roman" w:eastAsia="Times New Roman" w:hAnsi="Times New Roman"/>
          <w:sz w:val="18"/>
          <w:szCs w:val="18"/>
          <w:i w:val="1"/>
          <w:iCs w:val="1"/>
          <w:color w:val="auto"/>
        </w:rPr>
        <w:t>The Walking Dead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Fear the Walking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Dead.</w:t>
      </w:r>
    </w:p>
    <w:p>
      <w:pPr>
        <w:spacing w:after="0" w:line="148" w:lineRule="exact"/>
        <w:rPr>
          <w:rFonts w:ascii="Times New Roman" w:cs="Times New Roman" w:eastAsia="Times New Roman" w:hAnsi="Times New Roman"/>
          <w:sz w:val="18"/>
          <w:szCs w:val="18"/>
          <w:color w:val="auto"/>
        </w:rPr>
      </w:pPr>
    </w:p>
    <w:p>
      <w:pPr>
        <w:ind w:left="980" w:hanging="324"/>
        <w:spacing w:after="0" w:line="282" w:lineRule="auto"/>
        <w:tabs>
          <w:tab w:leader="none" w:pos="99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revenues grew 7% due to increased streaming revenues primarily driven by streaming subscriber growth, partially offset by declines in the linear subscriber universe.</w:t>
      </w:r>
    </w:p>
    <w:p>
      <w:pPr>
        <w:spacing w:after="0" w:line="14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3"/>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Streaming revenues increased 41% with quarter end total subscribers of 11.8 million.</w:t>
      </w:r>
    </w:p>
    <w:p>
      <w:pPr>
        <w:spacing w:after="0" w:line="21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3"/>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 revenues declined 7.5% due to basic subscriber declines, partly offset by contractual rate increases.</w:t>
      </w:r>
    </w:p>
    <w:p>
      <w:pPr>
        <w:spacing w:after="0" w:line="19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97"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revenues decreased 12% to $206 million, due to lower linear ratings, softness in the advertising market, and fewer original programming episodes, partly offset by digital and advanced advertising revenue growth.</w:t>
      </w:r>
    </w:p>
    <w:p>
      <w:pPr>
        <w:spacing w:after="0" w:line="148"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loss of $287 million which included restructuring and other related charges related to strategic programming assessments and organizational restructuring costs of $423 million.</w:t>
      </w:r>
    </w:p>
    <w:p>
      <w:pPr>
        <w:spacing w:after="0" w:line="148"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Operating Income increased 27% to $154 million, driven by increased revenues and lower levels of marketing investment, partly offset by increased programming investments.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Full Year Results:</w:t>
      </w:r>
    </w:p>
    <w:p>
      <w:pPr>
        <w:spacing w:after="0" w:line="212" w:lineRule="exact"/>
        <w:rPr>
          <w:sz w:val="20"/>
          <w:szCs w:val="20"/>
          <w:color w:val="auto"/>
        </w:rPr>
      </w:pPr>
    </w:p>
    <w:p>
      <w:pPr>
        <w:ind w:left="320" w:hanging="312"/>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Operations' revenues increased 4% from the prior year to $2,675 million.</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and other revenues increased 9% to $1,887 million.</w:t>
      </w:r>
    </w:p>
    <w:p>
      <w:pPr>
        <w:spacing w:after="0" w:line="198" w:lineRule="exact"/>
        <w:rPr>
          <w:rFonts w:ascii="Times New Roman" w:cs="Times New Roman" w:eastAsia="Times New Roman" w:hAnsi="Times New Roman"/>
          <w:sz w:val="18"/>
          <w:szCs w:val="18"/>
          <w:color w:val="auto"/>
        </w:rPr>
      </w:pPr>
    </w:p>
    <w:p>
      <w:pPr>
        <w:ind w:left="980" w:hanging="324"/>
        <w:spacing w:after="0" w:line="282" w:lineRule="auto"/>
        <w:tabs>
          <w:tab w:leader="none" w:pos="976"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Content licensing revenues increased 18% to $492 million, due to the timing and availability of deliveries, including the delivery of an AMC Studios produced series to a third party.</w:t>
      </w:r>
    </w:p>
    <w:p>
      <w:pPr>
        <w:spacing w:after="0" w:line="148" w:lineRule="exact"/>
        <w:rPr>
          <w:rFonts w:ascii="Times New Roman" w:cs="Times New Roman" w:eastAsia="Times New Roman" w:hAnsi="Times New Roman"/>
          <w:sz w:val="18"/>
          <w:szCs w:val="18"/>
          <w:color w:val="auto"/>
        </w:rPr>
      </w:pPr>
    </w:p>
    <w:p>
      <w:pPr>
        <w:ind w:left="980" w:hanging="324"/>
        <w:spacing w:after="0" w:line="282" w:lineRule="auto"/>
        <w:tabs>
          <w:tab w:leader="none" w:pos="99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revenues grew 6% due to increased streaming revenues, primarily driven by streaming subscriber growth, partially offset by declines in the linear subscriber universe.</w:t>
      </w:r>
    </w:p>
    <w:p>
      <w:pPr>
        <w:spacing w:after="0" w:line="14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3"/>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Streaming revenues increased 35% to $502 million.</w:t>
      </w:r>
    </w:p>
    <w:p>
      <w:pPr>
        <w:spacing w:after="0" w:line="19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3"/>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 revenues declined 5.8% due to basic subscriber declines, partly offset by contractual rate increases.</w:t>
      </w:r>
    </w:p>
    <w:p>
      <w:pPr>
        <w:spacing w:after="0" w:line="211" w:lineRule="exact"/>
        <w:rPr>
          <w:rFonts w:ascii="Times New Roman" w:cs="Times New Roman" w:eastAsia="Times New Roman" w:hAnsi="Times New Roman"/>
          <w:sz w:val="18"/>
          <w:szCs w:val="18"/>
          <w:color w:val="auto"/>
        </w:rPr>
      </w:pPr>
    </w:p>
    <w:p>
      <w:pPr>
        <w:ind w:left="660" w:hanging="328"/>
        <w:spacing w:after="0" w:line="282" w:lineRule="auto"/>
        <w:tabs>
          <w:tab w:leader="none" w:pos="697"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revenues decreased 7% to $788 million, due to lower linear ratings, softness in the advertising market, and fewer original programming episodes, partly offset by digital and advanced advertising revenue growth.</w:t>
      </w:r>
    </w:p>
    <w:p>
      <w:pPr>
        <w:spacing w:after="0" w:line="134"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decreased 54% to $287 million which included restructuring and other related charges related to strategic programming assessments and organizational restructuring costs of $423 million.</w:t>
      </w:r>
    </w:p>
    <w:p>
      <w:pPr>
        <w:spacing w:after="0" w:line="148"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Operating Income decreased 7% to $789 million, driven by lower advertising and affiliate revenues, increased programming investments and increased SG&amp;A expense.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40"/>
          </w:cols>
          <w:pgMar w:left="320" w:top="1440" w:right="339" w:bottom="1440" w:gutter="0" w:footer="0" w:header="0"/>
          <w:type w:val="continuous"/>
        </w:sectPr>
      </w:pPr>
    </w:p>
    <w:bookmarkStart w:id="6" w:name="page7"/>
    <w:bookmarkEnd w:id="6"/>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International and Other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Fourth Quarter Results:</w:t>
      </w:r>
    </w:p>
    <w:p>
      <w:pPr>
        <w:spacing w:after="0" w:line="198" w:lineRule="exact"/>
        <w:rPr>
          <w:sz w:val="20"/>
          <w:szCs w:val="20"/>
          <w:color w:val="auto"/>
        </w:rPr>
      </w:pPr>
    </w:p>
    <w:p>
      <w:pPr>
        <w:ind w:left="340" w:hanging="332"/>
        <w:spacing w:after="0" w:line="282" w:lineRule="auto"/>
        <w:tabs>
          <w:tab w:leader="none" w:pos="3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and Other revenues decreased 12% from the prior year to $108 million; or a decrease of 4% excluding the impact of foreign currency translation.</w:t>
      </w:r>
    </w:p>
    <w:p>
      <w:pPr>
        <w:spacing w:after="0" w:line="148" w:lineRule="exact"/>
        <w:rPr>
          <w:rFonts w:ascii="Times New Roman" w:cs="Times New Roman" w:eastAsia="Times New Roman" w:hAnsi="Times New Roman"/>
          <w:sz w:val="18"/>
          <w:szCs w:val="18"/>
          <w:color w:val="auto"/>
        </w:rPr>
      </w:pPr>
    </w:p>
    <w:p>
      <w:pPr>
        <w:ind w:left="660" w:hanging="328"/>
        <w:spacing w:after="0" w:line="282" w:lineRule="auto"/>
        <w:tabs>
          <w:tab w:leader="none" w:pos="656"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and other revenues decreased 4% to $86 million, due to the unfavorable impact of foreign currency translation at AMCNI, partially offset by the timing of productions at 25/7 Media; or an increase of 3% excluding the impact of foreign currency translation.</w:t>
      </w:r>
    </w:p>
    <w:p>
      <w:pPr>
        <w:spacing w:after="0" w:line="14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83"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revenues decreased 33% to $22 million, due to the wind-down of two channels in the U.K., the unfavorable impact of foreign currency translation at AMCNI, and softer ratings in the U.K.; excluding the impact of foreign currency translation, advertising revenues decreased 24%.</w:t>
      </w:r>
    </w:p>
    <w:p>
      <w:pPr>
        <w:spacing w:after="0" w:line="148"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loss of $37 million which included an impairment charge of $41 million, reflecting a partial write-down of the goodwill associated with AMCNI in addition to restructuring and other related charges related to strategic programming assessments and organizational restructuring costs of $3 million.</w:t>
      </w:r>
    </w:p>
    <w:p>
      <w:pPr>
        <w:spacing w:after="0" w:line="162"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Operating Income increased 8% to $13 million, reflecting cost savings related to channel rationalization and contractual rights savings; excluding the impact of foreign currency translation, Adjusted Operating Income increased 4%.</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Full Year Results:</w:t>
      </w:r>
    </w:p>
    <w:p>
      <w:pPr>
        <w:spacing w:after="0" w:line="198" w:lineRule="exact"/>
        <w:rPr>
          <w:sz w:val="20"/>
          <w:szCs w:val="20"/>
          <w:color w:val="auto"/>
        </w:rPr>
      </w:pPr>
    </w:p>
    <w:p>
      <w:pPr>
        <w:ind w:left="340" w:hanging="332"/>
        <w:spacing w:after="0" w:line="282" w:lineRule="auto"/>
        <w:tabs>
          <w:tab w:leader="none" w:pos="3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and Other revenues decreased 14% from the prior year to $443 million; or a decrease of 7% excluding the impact of foreign currency translation.</w:t>
      </w:r>
    </w:p>
    <w:p>
      <w:pPr>
        <w:spacing w:after="0" w:line="148" w:lineRule="exact"/>
        <w:rPr>
          <w:rFonts w:ascii="Times New Roman" w:cs="Times New Roman" w:eastAsia="Times New Roman" w:hAnsi="Times New Roman"/>
          <w:sz w:val="18"/>
          <w:szCs w:val="18"/>
          <w:color w:val="auto"/>
        </w:rPr>
      </w:pPr>
    </w:p>
    <w:p>
      <w:pPr>
        <w:ind w:left="660" w:hanging="328"/>
        <w:spacing w:after="0" w:line="282" w:lineRule="auto"/>
        <w:tabs>
          <w:tab w:leader="none" w:pos="65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and other revenues decreased 12% to $359 million, due to the unfavorable impact of foreign currency translation at AMCNI and the timing of productions at 25/7 Media; or a decrease of 6% excluding the impact of foreign currency translation.</w:t>
      </w:r>
    </w:p>
    <w:p>
      <w:pPr>
        <w:spacing w:after="0" w:line="14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83"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revenues decreased 21% to $84 million, due to the wind-down of two channels in the U.K., the unfavorable impact of foreign currency translation at AMCNI, and softer ratings in the U.K.; excluding the impact of foreign currency translation, advertising revenues decreased 12%.</w:t>
      </w:r>
    </w:p>
    <w:p>
      <w:pPr>
        <w:spacing w:after="0" w:line="148"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decreased 92% to $3 million which included an impairment charge of $41 million, reflecting a partial write-down of goodwill associated with AMCNI in addition to restructuring and other related charges related to strategic programming assessments and organizational restructuring costs of $3 million.</w:t>
      </w:r>
    </w:p>
    <w:p>
      <w:pPr>
        <w:spacing w:after="0" w:line="162"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Operating Income decreased 17% to $69 million, driven by decreased revenues, and the unfavorable impact of foreign currency translation at AMCNI; excluding the impact of foreign currency translation, Adjusted Operating Income decreased 15%.</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40"/>
          </w:cols>
          <w:pgMar w:left="320" w:top="1440" w:right="339" w:bottom="1440" w:gutter="0" w:footer="0" w:header="0"/>
          <w:type w:val="continuous"/>
        </w:sectPr>
      </w:pPr>
    </w:p>
    <w:bookmarkStart w:id="7" w:name="page8"/>
    <w:bookmarkEnd w:id="7"/>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Matters</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Restructuring and other related charges</w:t>
      </w:r>
    </w:p>
    <w:p>
      <w:pPr>
        <w:spacing w:after="0" w:line="160"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8"/>
          <w:szCs w:val="18"/>
          <w:color w:val="auto"/>
        </w:rPr>
        <w:t>On November 28, 2022, the Company commenced a restructuring plan designed to achieve significant cost reductions, encompassing initiatives that include, among other things, strategic programming assessments and organizational restructuring costs. Programming assessments pertain to a broad mix of owned and licensed content, including legacy television series and films that will no longer be in active rotation on the Company’s linear or digital platforms. Restructuring and other related charges recorded in 2022, were primarily related to content impairments of $403.8 million, as well as severance and other personnel costs of $45.2 million. Of the $449.0 million total charge, $423.2 million related to Domestic Operations, $2.9 million related to AMCNI, and $22.9 million related to Corporate.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Impairment and other charges</w:t>
      </w:r>
    </w:p>
    <w:p>
      <w:pPr>
        <w:spacing w:after="0" w:line="173"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In December 2022, we performed our annual goodwill impairment test and concluded that the estimated fair value of our AMCNI reporting unit declined to less than its carrying amount. The decrease in the estimated fair value was in response to current and expected trends across the International television broadcasting markets, as well as a decrease in the financial multiples used to estimate the fair value using the market approach. As a result, we recognized an impairment charge of $40.7 million, reflecting a partial write-down of the goodwill associated with the AMCNI reporting unit.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Stock Repurchase Program &amp; Outstanding Shares</w:t>
      </w:r>
    </w:p>
    <w:p>
      <w:pPr>
        <w:spacing w:after="0" w:line="160"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As previously disclosed, the Company's Board of Directors has authorized a program to repurchase up to $1.5 billion of the Company’s outstanding shares of common stock. The Stock Repurchase Program has no pre-established closing date and may be suspended or discontinued at any time. During the quarter ended December 31, 2022, the Company did not repurchase any shares. As of December 31, 2022, the Company had $135 million of authorization remaining for repurchase under the Stock Repurchase Program.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10, 2023, the Company had 31,524,521 shares of Class A Common Stock and 11,484,408 shares of Class B Common Stock outstanding.</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see the Company’s Form 10-K for the year ended December 31, 2022, which will be filed later today, for further details regarding the above matters.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4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auto"/>
        </w:rPr>
        <w:t>Description of Non-GAAP Measures</w:t>
      </w:r>
    </w:p>
    <w:p>
      <w:pPr>
        <w:spacing w:after="0" w:line="310"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Company defines Adjusted Operating Income (Loss), which is a non-GAAP financial measure, as operating income (loss) before share-based compensation expense or benefit, depreciation and amortization, impairment and other charges (including gains or losses on sales or dispositions of businesses), restructuring and other related charges, cloud computing amortization, and including the Company’s proportionate share of adjusted operating income (loss) from majority-owned equity method investees. From time to time, we may exclude the impact of certain events, gains, losses, or other charges (such as significant legal settlements) from AOI that affect our operating performance. Because it is based upon operating income (loss), Adjusted Operating Income (Loss) also excludes interest expense (including cash interest expense) and other non-operating income and expense items. The Company believes that the exclusion of share-based compensation expense or benefit allows investors to better track the performance of the various operating units of the business without regard to the effect of the settlement of an obligation that is not expected to be made in cash.</w:t>
      </w:r>
    </w:p>
    <w:p>
      <w:pPr>
        <w:spacing w:after="0" w:line="327" w:lineRule="exact"/>
        <w:rPr>
          <w:sz w:val="20"/>
          <w:szCs w:val="20"/>
          <w:color w:val="auto"/>
        </w:rPr>
      </w:pPr>
    </w:p>
    <w:p>
      <w:pPr>
        <w:spacing w:after="0" w:line="305" w:lineRule="auto"/>
        <w:rPr>
          <w:sz w:val="20"/>
          <w:szCs w:val="20"/>
          <w:color w:val="auto"/>
        </w:rPr>
      </w:pPr>
      <w:r>
        <w:rPr>
          <w:rFonts w:ascii="Times New Roman" w:cs="Times New Roman" w:eastAsia="Times New Roman" w:hAnsi="Times New Roman"/>
          <w:sz w:val="18"/>
          <w:szCs w:val="18"/>
          <w:color w:val="auto"/>
        </w:rPr>
        <w:t>The Company believes that Adjusted Operating Income (Loss) is an appropriate measure for evaluating the operating performance of the business segments and the Company on a consolidated basis. Adjusted Operating Income (Loss) and similar measures with similar titles are common performance measures used by investors, analysts, and peers to compare performance in the industry.</w:t>
      </w:r>
    </w:p>
    <w:p>
      <w:pPr>
        <w:spacing w:after="0" w:line="31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Internally, the Company uses net revenues and Adjusted Operating Income (Loss) measures as the most important indicators of its business performance and evaluates management’s effectiveness with specific reference to these indicators. Adjusted Operating Income (Loss) should be viewed as a supplement to and not a substitute for operating income (loss), net income (loss), and other measures of performance presented in accordance with U.S. generally accepted accounting principles ("GAAP"). Since Adjusted Operating Income (Loss) is not a measure of performance calculated in accordance with GAAP, this measure may not be comparable to similar measures with similar titles used by other companies. For a reconciliation of operating income (loss) to Adjusted Operating Income (Loss), please see pages 9-10 of this release.</w:t>
      </w:r>
    </w:p>
    <w:p>
      <w:pPr>
        <w:spacing w:after="0" w:line="31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Company defines Free Cash Flow, which is a non-GAAP financial measure, as net cash provided by operating activities less capital expenditures and cash distributions to noncontrolling interests, all of which are reported in our Consolidated Statement of Cash Flows. The Company believes the most comparable GAAP financial measure of its liquidity is net cash provided by operating activities. The Company believes that Free Cash Flow is useful as an indicator of its overall liquidity, as the amount of Free Cash Flow generated in any period is representative of cash that is available for debt repayment, investment, and other discretionary and non-discretionary cash uses. The Company also believes that Free Cash Flow is one of several benchmarks used by analysts and investors who follow the industry for comparison of its liquidity with other companies in the industry, although the Company’s measure of Free Cash Flow may not be directly comparable to similar measures reported by other companies. For a reconciliation of net cash provided by operating activities to Free Cash Flow, please see page 11 of this release.</w:t>
      </w:r>
    </w:p>
    <w:p>
      <w:pPr>
        <w:spacing w:after="0" w:line="327"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The Company defines Adjusted Earnings per Diluted Share (“Adjusted EPS”), which is a non-GAAP financial measure, as earnings per diluted share excluding the following items: amortization of acquisition-related intangible assets; impairment and other charges (including gains or losses on sales or dispositions of businesses); non-cash impairments of goodwill, intangible and fixed assets; restructuring and other related charges; and gains and losses related to the extinguishment of debt; as well as the impact of taxes on the aforementioned items. The Company believes the most comparable GAAP financial measure is earnings per diluted share. The Company believes that Adjusted EPS is one of several benchmarks used by analysts and investors who follow the industry for comparison of its performance with other companies in the industry, although the Company’s measure of Adjusted EPS may not be directly comparable to similar measures reported by other companies. For a reconciliation of earnings per diluted share to Adjusted EPS, please see pages 12-13 of this release.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25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310"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This earnings release may contain statements that constitute forward-looking statements within the meaning of the Private Securities Litigation Reform Act of 1995. These statements are based on management's current expectations and are subject to uncertainty and changes in circumstances. Investors are cautioned that any such forward-looking statements are not guarantees of future performance or results and involve risks and uncertainties and that actual results or developments may differ materially from those in the forward-looking statements as a result of various factors, including financial community and rating agency perceptions of the Company and its business, operations, financial condition and the industries in which it operates and the factors described in the Company’s filings with the Securities and Exchange Commission, including the sections entitled "Risk Factors" and "Management’s Discussion and Analysis of Financial Condition and Results of Operations" contained therein. The Company disclaims any obligation to update any forward-looking statements contained herein.</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Conference Call Information</w:t>
      </w:r>
    </w:p>
    <w:p>
      <w:pPr>
        <w:spacing w:after="0" w:line="337"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AMC Networks will host a conference call today at 11:00 a.m. ET to discuss its fourth quarter and full year 2022 results. To listen to the call, please visit investors.amcnetworks.com.</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AMC Networks Inc.</w:t>
      </w:r>
    </w:p>
    <w:p>
      <w:pPr>
        <w:spacing w:after="0" w:line="33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AMC Networks (Nasdaq: AMCX) is a global entertainment company known for its popular and critically acclaimed content. Its brands include targeted streaming services AMC+, Acorn TV, Shudder, Sundance Now, ALLBLK and the anime-focused HIDIVE streaming service, in addition to AMC, BBC AMERICA (operated through a joint venture with BBC Studios), IFC, SundanceTV, WE tv, IFC Films and RLJE Films. AMC Studios, the Company’s in-house studio, production and distribution operation, is behind some of the biggest titles and brands known to a global audience, including The Walking Dead, the Anne Rice catalog and the Agatha Christie library. The Company also operates AMC Networks International, its international programming business, and 25/7 Media, its production services business.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Contacts</w:t>
            </w:r>
          </w:p>
        </w:tc>
        <w:tc>
          <w:tcPr>
            <w:tcW w:w="19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Investor Relations</w:t>
            </w:r>
          </w:p>
        </w:tc>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Communications</w:t>
            </w:r>
          </w:p>
        </w:tc>
      </w:tr>
      <w:tr>
        <w:trPr>
          <w:trHeight w:val="20"/>
        </w:trPr>
        <w:tc>
          <w:tcPr>
            <w:tcW w:w="20" w:type="dxa"/>
            <w:vAlign w:val="bottom"/>
          </w:tcPr>
          <w:p>
            <w:pPr>
              <w:spacing w:after="0" w:line="20" w:lineRule="exact"/>
              <w:rPr>
                <w:sz w:val="1"/>
                <w:szCs w:val="1"/>
                <w:color w:val="auto"/>
              </w:rPr>
            </w:pPr>
          </w:p>
        </w:tc>
        <w:tc>
          <w:tcPr>
            <w:tcW w:w="1320" w:type="dxa"/>
            <w:vAlign w:val="bottom"/>
            <w:gridSpan w:val="2"/>
            <w:shd w:val="clear" w:color="auto" w:fill="000000"/>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6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Nicholas Seibert (646) 740-5749</w:t>
            </w:r>
          </w:p>
        </w:tc>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Georgia Juvelis (917) 542-6390</w:t>
            </w:r>
          </w:p>
        </w:tc>
      </w:tr>
      <w:tr>
        <w:trPr>
          <w:trHeight w:val="234"/>
        </w:trPr>
        <w:tc>
          <w:tcPr>
            <w:tcW w:w="20" w:type="dxa"/>
            <w:vAlign w:val="bottom"/>
          </w:tcPr>
          <w:p>
            <w:pPr>
              <w:spacing w:after="0"/>
              <w:rPr>
                <w:sz w:val="20"/>
                <w:szCs w:val="20"/>
                <w:color w:val="auto"/>
              </w:rPr>
            </w:pPr>
          </w:p>
        </w:tc>
        <w:tc>
          <w:tcPr>
            <w:tcW w:w="6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nicholas.seibert@amcnetworks.com</w:t>
            </w:r>
          </w:p>
        </w:tc>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georgia.juvelis@amcnetworks.com</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251" w:right="33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AMC NETWORKS INC.</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CONSOLIDATED STATEMENTS OF INCOME (LOSS)</w:t>
      </w: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(Dollars in thousands, except per share amounts)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6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180" w:type="dxa"/>
            <w:vAlign w:val="bottom"/>
          </w:tcPr>
          <w:p>
            <w:pPr>
              <w:spacing w:after="0"/>
              <w:rPr>
                <w:sz w:val="18"/>
                <w:szCs w:val="18"/>
                <w:color w:val="auto"/>
              </w:rPr>
            </w:pPr>
          </w:p>
        </w:tc>
        <w:tc>
          <w:tcPr>
            <w:tcW w:w="2820" w:type="dxa"/>
            <w:vAlign w:val="bottom"/>
            <w:gridSpan w:val="4"/>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rPr>
              <w:t>Twelve Months Ended December 31,</w:t>
            </w:r>
          </w:p>
        </w:tc>
      </w:tr>
      <w:tr>
        <w:trPr>
          <w:trHeight w:val="211"/>
        </w:trPr>
        <w:tc>
          <w:tcPr>
            <w:tcW w:w="50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964,520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803,709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3,096,545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3,077,608</w:t>
            </w:r>
          </w:p>
        </w:tc>
      </w:tr>
      <w:tr>
        <w:trPr>
          <w:trHeight w:val="209"/>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76"/>
        </w:trPr>
        <w:tc>
          <w:tcPr>
            <w:tcW w:w="508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Technical and operating (excluding depreciation and</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43"/>
        </w:trPr>
        <w:tc>
          <w:tcPr>
            <w:tcW w:w="50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amortization)</w:t>
            </w: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612,434</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434,406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1,515,902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1,432,083</w:t>
            </w:r>
          </w:p>
        </w:tc>
      </w:tr>
      <w:tr>
        <w:trPr>
          <w:trHeight w:val="230"/>
        </w:trPr>
        <w:tc>
          <w:tcPr>
            <w:tcW w:w="5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226,373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281,570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896,817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891,734</w:t>
            </w:r>
          </w:p>
        </w:tc>
      </w:tr>
      <w:tr>
        <w:trPr>
          <w:trHeight w:val="229"/>
        </w:trPr>
        <w:tc>
          <w:tcPr>
            <w:tcW w:w="5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93,881</w:t>
            </w:r>
          </w:p>
        </w:tc>
      </w:tr>
      <w:tr>
        <w:trPr>
          <w:trHeight w:val="229"/>
        </w:trPr>
        <w:tc>
          <w:tcPr>
            <w:tcW w:w="5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Impairment and other charges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40,717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159,610</w:t>
            </w:r>
          </w:p>
        </w:tc>
      </w:tr>
      <w:tr>
        <w:trPr>
          <w:trHeight w:val="230"/>
        </w:trPr>
        <w:tc>
          <w:tcPr>
            <w:tcW w:w="5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Restructuring and other related charges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448,966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448,966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10,378</w:t>
            </w:r>
          </w:p>
        </w:tc>
      </w:tr>
      <w:tr>
        <w:trPr>
          <w:trHeight w:val="223"/>
        </w:trPr>
        <w:tc>
          <w:tcPr>
            <w:tcW w:w="50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1,356,161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740,077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3,009,629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2,587,686</w:t>
            </w:r>
          </w:p>
        </w:tc>
      </w:tr>
      <w:tr>
        <w:trPr>
          <w:trHeight w:val="223"/>
        </w:trPr>
        <w:tc>
          <w:tcPr>
            <w:tcW w:w="50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Operating income (loss)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(391,641)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63,632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86,916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489,922</w:t>
            </w:r>
          </w:p>
        </w:tc>
      </w:tr>
      <w:tr>
        <w:trPr>
          <w:trHeight w:val="209"/>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5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(36,677)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(129,073)</w:t>
            </w:r>
          </w:p>
        </w:tc>
      </w:tr>
      <w:tr>
        <w:trPr>
          <w:trHeight w:val="229"/>
        </w:trPr>
        <w:tc>
          <w:tcPr>
            <w:tcW w:w="5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10,243</w:t>
            </w:r>
          </w:p>
        </w:tc>
      </w:tr>
      <w:tr>
        <w:trPr>
          <w:trHeight w:val="229"/>
        </w:trPr>
        <w:tc>
          <w:tcPr>
            <w:tcW w:w="5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(22,074)</w:t>
            </w:r>
          </w:p>
        </w:tc>
      </w:tr>
      <w:tr>
        <w:trPr>
          <w:trHeight w:val="230"/>
        </w:trPr>
        <w:tc>
          <w:tcPr>
            <w:tcW w:w="50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Miscellaneous, net</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25,214</w:t>
            </w:r>
          </w:p>
        </w:tc>
      </w:tr>
      <w:tr>
        <w:trPr>
          <w:trHeight w:val="223"/>
        </w:trPr>
        <w:tc>
          <w:tcPr>
            <w:tcW w:w="50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other expense</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(31,875)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(116,868)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(115,690)</w:t>
            </w:r>
          </w:p>
        </w:tc>
      </w:tr>
      <w:tr>
        <w:trPr>
          <w:trHeight w:val="223"/>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operations before income taxes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(423,516)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374,232</w:t>
            </w:r>
          </w:p>
        </w:tc>
      </w:tr>
      <w:tr>
        <w:trPr>
          <w:trHeight w:val="230"/>
        </w:trPr>
        <w:tc>
          <w:tcPr>
            <w:tcW w:w="5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144,098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40,980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(94,393)</w:t>
            </w:r>
          </w:p>
        </w:tc>
      </w:tr>
      <w:tr>
        <w:trPr>
          <w:trHeight w:val="223"/>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including noncontrolling interests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(279,418)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279,839</w:t>
            </w:r>
          </w:p>
        </w:tc>
      </w:tr>
      <w:tr>
        <w:trPr>
          <w:trHeight w:val="230"/>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(29,243)</w:t>
            </w:r>
          </w:p>
        </w:tc>
      </w:tr>
      <w:tr>
        <w:trPr>
          <w:trHeight w:val="223"/>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AMC Networks’ stockholders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(264,689)</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17,039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250,596</w:t>
            </w: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91"/>
        </w:trPr>
        <w:tc>
          <w:tcPr>
            <w:tcW w:w="50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30"/>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 per share attributable to AMC Networks’ stockholders:</w:t>
            </w: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r>
      <w:tr>
        <w:trPr>
          <w:trHeight w:val="229"/>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r>
      <w:tr>
        <w:trPr>
          <w:trHeight w:val="324"/>
        </w:trPr>
        <w:tc>
          <w:tcPr>
            <w:tcW w:w="50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3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43,328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42,361</w:t>
            </w:r>
          </w:p>
        </w:tc>
      </w:tr>
      <w:tr>
        <w:trPr>
          <w:trHeight w:val="23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43,328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43,755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43,731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43,439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80"/>
          </w:cols>
          <w:pgMar w:left="360" w:top="1094" w:right="359" w:bottom="1440" w:gutter="0" w:footer="0" w:header="0"/>
        </w:sectPr>
      </w:pPr>
    </w:p>
    <w:bookmarkStart w:id="11" w:name="page12"/>
    <w:bookmarkEnd w:id="11"/>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AMC NETWORKS INC.</w:t>
      </w:r>
    </w:p>
    <w:p>
      <w:pPr>
        <w:spacing w:after="0" w:line="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SUPPLEMENTAL FINANCIAL DATA</w:t>
      </w: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(Dollars in thousands)</w:t>
      </w:r>
    </w:p>
    <w:p>
      <w:pPr>
        <w:spacing w:after="0" w:line="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December 31, 2022</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620" w:type="dxa"/>
            <w:vAlign w:val="bottom"/>
          </w:tcPr>
          <w:p>
            <w:pPr>
              <w:spacing w:after="0"/>
              <w:rPr>
                <w:sz w:val="13"/>
                <w:szCs w:val="13"/>
                <w:color w:val="auto"/>
              </w:rPr>
            </w:pPr>
          </w:p>
        </w:tc>
        <w:tc>
          <w:tcPr>
            <w:tcW w:w="166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color w:val="auto"/>
              </w:rPr>
              <w:t>Domestic Operations</w:t>
            </w:r>
          </w:p>
        </w:tc>
        <w:tc>
          <w:tcPr>
            <w:tcW w:w="168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color w:val="auto"/>
              </w:rPr>
              <w:t>International and Other</w:t>
            </w:r>
          </w:p>
        </w:tc>
        <w:tc>
          <w:tcPr>
            <w:tcW w:w="160" w:type="dxa"/>
            <w:vAlign w:val="bottom"/>
          </w:tcPr>
          <w:p>
            <w:pPr>
              <w:spacing w:after="0"/>
              <w:rPr>
                <w:sz w:val="13"/>
                <w:szCs w:val="13"/>
                <w:color w:val="auto"/>
              </w:rPr>
            </w:pPr>
          </w:p>
        </w:tc>
        <w:tc>
          <w:tcPr>
            <w:tcW w:w="152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color w:val="auto"/>
                <w:w w:val="99"/>
              </w:rPr>
              <w:t>Corporate / Inter-</w:t>
            </w:r>
          </w:p>
        </w:tc>
        <w:tc>
          <w:tcPr>
            <w:tcW w:w="220" w:type="dxa"/>
            <w:vAlign w:val="bottom"/>
          </w:tcPr>
          <w:p>
            <w:pPr>
              <w:spacing w:after="0"/>
              <w:rPr>
                <w:sz w:val="13"/>
                <w:szCs w:val="13"/>
                <w:color w:val="auto"/>
              </w:rPr>
            </w:pPr>
          </w:p>
        </w:tc>
        <w:tc>
          <w:tcPr>
            <w:tcW w:w="1340" w:type="dxa"/>
            <w:vAlign w:val="bottom"/>
            <w:vMerge w:val="restart"/>
          </w:tcPr>
          <w:p>
            <w:pPr>
              <w:jc w:val="right"/>
              <w:ind w:right="271"/>
              <w:spacing w:after="0"/>
              <w:rPr>
                <w:sz w:val="20"/>
                <w:szCs w:val="20"/>
                <w:color w:val="auto"/>
              </w:rPr>
            </w:pPr>
            <w:r>
              <w:rPr>
                <w:rFonts w:ascii="Times New Roman" w:cs="Times New Roman" w:eastAsia="Times New Roman" w:hAnsi="Times New Roman"/>
                <w:sz w:val="16"/>
                <w:szCs w:val="16"/>
                <w:color w:val="auto"/>
              </w:rPr>
              <w:t>Consolidated</w:t>
            </w:r>
          </w:p>
        </w:tc>
        <w:tc>
          <w:tcPr>
            <w:tcW w:w="0" w:type="dxa"/>
            <w:vAlign w:val="bottom"/>
          </w:tcPr>
          <w:p>
            <w:pPr>
              <w:spacing w:after="0"/>
              <w:rPr>
                <w:sz w:val="1"/>
                <w:szCs w:val="1"/>
                <w:color w:val="auto"/>
              </w:rPr>
            </w:pPr>
          </w:p>
        </w:tc>
      </w:tr>
      <w:tr>
        <w:trPr>
          <w:trHeight w:val="213"/>
        </w:trPr>
        <w:tc>
          <w:tcPr>
            <w:tcW w:w="4620" w:type="dxa"/>
            <w:vAlign w:val="bottom"/>
          </w:tcPr>
          <w:p>
            <w:pPr>
              <w:spacing w:after="0"/>
              <w:rPr>
                <w:sz w:val="18"/>
                <w:szCs w:val="18"/>
                <w:color w:val="auto"/>
              </w:rPr>
            </w:pPr>
          </w:p>
        </w:tc>
        <w:tc>
          <w:tcPr>
            <w:tcW w:w="1660" w:type="dxa"/>
            <w:vAlign w:val="bottom"/>
            <w:gridSpan w:val="3"/>
            <w:vMerge w:val="continue"/>
          </w:tcPr>
          <w:p>
            <w:pPr>
              <w:spacing w:after="0"/>
              <w:rPr>
                <w:sz w:val="18"/>
                <w:szCs w:val="18"/>
                <w:color w:val="auto"/>
              </w:rPr>
            </w:pPr>
          </w:p>
        </w:tc>
        <w:tc>
          <w:tcPr>
            <w:tcW w:w="1680" w:type="dxa"/>
            <w:vAlign w:val="bottom"/>
            <w:gridSpan w:val="3"/>
            <w:vMerge w:val="continue"/>
          </w:tcPr>
          <w:p>
            <w:pPr>
              <w:spacing w:after="0"/>
              <w:rPr>
                <w:sz w:val="18"/>
                <w:szCs w:val="18"/>
                <w:color w:val="auto"/>
              </w:rPr>
            </w:pPr>
          </w:p>
        </w:tc>
        <w:tc>
          <w:tcPr>
            <w:tcW w:w="16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rPr>
              <w:t>segment Eliminations</w:t>
            </w:r>
          </w:p>
        </w:tc>
        <w:tc>
          <w:tcPr>
            <w:tcW w:w="22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62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Operating income (loss)</w:t>
            </w:r>
          </w:p>
        </w:tc>
        <w:tc>
          <w:tcPr>
            <w:tcW w:w="460" w:type="dxa"/>
            <w:vAlign w:val="bottom"/>
            <w:tcBorders>
              <w:top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(287,426)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(36,702)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(67,513)</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(391,641)</w:t>
            </w:r>
          </w:p>
        </w:tc>
        <w:tc>
          <w:tcPr>
            <w:tcW w:w="0" w:type="dxa"/>
            <w:vAlign w:val="bottom"/>
          </w:tcPr>
          <w:p>
            <w:pPr>
              <w:spacing w:after="0"/>
              <w:rPr>
                <w:sz w:val="1"/>
                <w:szCs w:val="1"/>
                <w:color w:val="auto"/>
              </w:rPr>
            </w:pPr>
          </w:p>
        </w:tc>
      </w:tr>
      <w:tr>
        <w:trPr>
          <w:trHeight w:val="230"/>
        </w:trPr>
        <w:tc>
          <w:tcPr>
            <w:tcW w:w="46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Share-based compensation expenses</w:t>
            </w: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6,124</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27,671</w:t>
            </w:r>
          </w:p>
        </w:tc>
        <w:tc>
          <w:tcPr>
            <w:tcW w:w="0" w:type="dxa"/>
            <w:vAlign w:val="bottom"/>
          </w:tcPr>
          <w:p>
            <w:pPr>
              <w:spacing w:after="0"/>
              <w:rPr>
                <w:sz w:val="1"/>
                <w:szCs w:val="1"/>
                <w:color w:val="auto"/>
              </w:rPr>
            </w:pPr>
          </w:p>
        </w:tc>
      </w:tr>
      <w:tr>
        <w:trPr>
          <w:trHeight w:val="230"/>
        </w:trPr>
        <w:tc>
          <w:tcPr>
            <w:tcW w:w="46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Restructuring and other related charges</w:t>
            </w: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423,205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448,966</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Impairment and other charges</w:t>
            </w:r>
          </w:p>
        </w:tc>
        <w:tc>
          <w:tcPr>
            <w:tcW w:w="4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40,717</w:t>
            </w:r>
          </w:p>
        </w:tc>
        <w:tc>
          <w:tcPr>
            <w:tcW w:w="0" w:type="dxa"/>
            <w:vAlign w:val="bottom"/>
          </w:tcPr>
          <w:p>
            <w:pPr>
              <w:spacing w:after="0"/>
              <w:rPr>
                <w:sz w:val="1"/>
                <w:szCs w:val="1"/>
                <w:color w:val="auto"/>
              </w:rPr>
            </w:pPr>
          </w:p>
        </w:tc>
      </w:tr>
      <w:tr>
        <w:trPr>
          <w:trHeight w:val="229"/>
        </w:trPr>
        <w:tc>
          <w:tcPr>
            <w:tcW w:w="46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Cloud computing amortization</w:t>
            </w: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Majority owned equity investees AOI</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3,515</w:t>
            </w:r>
          </w:p>
        </w:tc>
        <w:tc>
          <w:tcPr>
            <w:tcW w:w="0" w:type="dxa"/>
            <w:vAlign w:val="bottom"/>
          </w:tcPr>
          <w:p>
            <w:pPr>
              <w:spacing w:after="0"/>
              <w:rPr>
                <w:sz w:val="1"/>
                <w:szCs w:val="1"/>
                <w:color w:val="auto"/>
              </w:rPr>
            </w:pPr>
          </w:p>
        </w:tc>
      </w:tr>
      <w:tr>
        <w:trPr>
          <w:trHeight w:val="223"/>
        </w:trPr>
        <w:tc>
          <w:tcPr>
            <w:tcW w:w="46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Adjusted operating income (loss)</w:t>
            </w:r>
          </w:p>
        </w:tc>
        <w:tc>
          <w:tcPr>
            <w:tcW w:w="460" w:type="dxa"/>
            <w:vAlign w:val="bottom"/>
            <w:tcBorders>
              <w:top w:val="single" w:sz="8" w:color="auto"/>
              <w:bottom w:val="single" w:sz="8" w:color="auto"/>
            </w:tcBorders>
          </w:tcPr>
          <w:p>
            <w:pPr>
              <w:jc w:val="right"/>
              <w:ind w:right="273"/>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153,987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13,480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(30,096)</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137,371</w:t>
            </w:r>
          </w:p>
        </w:tc>
        <w:tc>
          <w:tcPr>
            <w:tcW w:w="0" w:type="dxa"/>
            <w:vAlign w:val="bottom"/>
          </w:tcPr>
          <w:p>
            <w:pPr>
              <w:spacing w:after="0"/>
              <w:rPr>
                <w:sz w:val="1"/>
                <w:szCs w:val="1"/>
                <w:color w:val="auto"/>
              </w:rPr>
            </w:pPr>
          </w:p>
        </w:tc>
      </w:tr>
      <w:tr>
        <w:trPr>
          <w:trHeight w:val="21"/>
        </w:trPr>
        <w:tc>
          <w:tcPr>
            <w:tcW w:w="46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43"/>
        </w:trPr>
        <w:tc>
          <w:tcPr>
            <w:tcW w:w="46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December 31, 2021</w:t>
            </w: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620" w:type="dxa"/>
            <w:vAlign w:val="bottom"/>
          </w:tcPr>
          <w:p>
            <w:pPr>
              <w:spacing w:after="0"/>
              <w:rPr>
                <w:sz w:val="13"/>
                <w:szCs w:val="13"/>
                <w:color w:val="auto"/>
              </w:rPr>
            </w:pPr>
          </w:p>
        </w:tc>
        <w:tc>
          <w:tcPr>
            <w:tcW w:w="166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color w:val="auto"/>
              </w:rPr>
              <w:t>Domestic Operations</w:t>
            </w:r>
          </w:p>
        </w:tc>
        <w:tc>
          <w:tcPr>
            <w:tcW w:w="168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color w:val="auto"/>
              </w:rPr>
              <w:t>International and Other</w:t>
            </w:r>
          </w:p>
        </w:tc>
        <w:tc>
          <w:tcPr>
            <w:tcW w:w="160" w:type="dxa"/>
            <w:vAlign w:val="bottom"/>
          </w:tcPr>
          <w:p>
            <w:pPr>
              <w:spacing w:after="0"/>
              <w:rPr>
                <w:sz w:val="13"/>
                <w:szCs w:val="13"/>
                <w:color w:val="auto"/>
              </w:rPr>
            </w:pPr>
          </w:p>
        </w:tc>
        <w:tc>
          <w:tcPr>
            <w:tcW w:w="152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color w:val="auto"/>
                <w:w w:val="99"/>
              </w:rPr>
              <w:t>Corporate / Inter-</w:t>
            </w:r>
          </w:p>
        </w:tc>
        <w:tc>
          <w:tcPr>
            <w:tcW w:w="220" w:type="dxa"/>
            <w:vAlign w:val="bottom"/>
          </w:tcPr>
          <w:p>
            <w:pPr>
              <w:spacing w:after="0"/>
              <w:rPr>
                <w:sz w:val="13"/>
                <w:szCs w:val="13"/>
                <w:color w:val="auto"/>
              </w:rPr>
            </w:pPr>
          </w:p>
        </w:tc>
        <w:tc>
          <w:tcPr>
            <w:tcW w:w="1340" w:type="dxa"/>
            <w:vAlign w:val="bottom"/>
            <w:vMerge w:val="restart"/>
          </w:tcPr>
          <w:p>
            <w:pPr>
              <w:jc w:val="right"/>
              <w:ind w:right="271"/>
              <w:spacing w:after="0"/>
              <w:rPr>
                <w:sz w:val="20"/>
                <w:szCs w:val="20"/>
                <w:color w:val="auto"/>
              </w:rPr>
            </w:pPr>
            <w:r>
              <w:rPr>
                <w:rFonts w:ascii="Times New Roman" w:cs="Times New Roman" w:eastAsia="Times New Roman" w:hAnsi="Times New Roman"/>
                <w:sz w:val="16"/>
                <w:szCs w:val="16"/>
                <w:color w:val="auto"/>
              </w:rPr>
              <w:t>Consolidated</w:t>
            </w:r>
          </w:p>
        </w:tc>
        <w:tc>
          <w:tcPr>
            <w:tcW w:w="0" w:type="dxa"/>
            <w:vAlign w:val="bottom"/>
          </w:tcPr>
          <w:p>
            <w:pPr>
              <w:spacing w:after="0"/>
              <w:rPr>
                <w:sz w:val="1"/>
                <w:szCs w:val="1"/>
                <w:color w:val="auto"/>
              </w:rPr>
            </w:pPr>
          </w:p>
        </w:tc>
      </w:tr>
      <w:tr>
        <w:trPr>
          <w:trHeight w:val="213"/>
        </w:trPr>
        <w:tc>
          <w:tcPr>
            <w:tcW w:w="4620" w:type="dxa"/>
            <w:vAlign w:val="bottom"/>
          </w:tcPr>
          <w:p>
            <w:pPr>
              <w:spacing w:after="0"/>
              <w:rPr>
                <w:sz w:val="18"/>
                <w:szCs w:val="18"/>
                <w:color w:val="auto"/>
              </w:rPr>
            </w:pPr>
          </w:p>
        </w:tc>
        <w:tc>
          <w:tcPr>
            <w:tcW w:w="1660" w:type="dxa"/>
            <w:vAlign w:val="bottom"/>
            <w:gridSpan w:val="3"/>
            <w:vMerge w:val="continue"/>
          </w:tcPr>
          <w:p>
            <w:pPr>
              <w:spacing w:after="0"/>
              <w:rPr>
                <w:sz w:val="18"/>
                <w:szCs w:val="18"/>
                <w:color w:val="auto"/>
              </w:rPr>
            </w:pPr>
          </w:p>
        </w:tc>
        <w:tc>
          <w:tcPr>
            <w:tcW w:w="1680" w:type="dxa"/>
            <w:vAlign w:val="bottom"/>
            <w:gridSpan w:val="3"/>
            <w:vMerge w:val="continue"/>
          </w:tcPr>
          <w:p>
            <w:pPr>
              <w:spacing w:after="0"/>
              <w:rPr>
                <w:sz w:val="18"/>
                <w:szCs w:val="18"/>
                <w:color w:val="auto"/>
              </w:rPr>
            </w:pPr>
          </w:p>
        </w:tc>
        <w:tc>
          <w:tcPr>
            <w:tcW w:w="16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rPr>
              <w:t>segment Eliminations</w:t>
            </w:r>
          </w:p>
        </w:tc>
        <w:tc>
          <w:tcPr>
            <w:tcW w:w="22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6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Operating income (loss)</w:t>
            </w:r>
          </w:p>
        </w:tc>
        <w:tc>
          <w:tcPr>
            <w:tcW w:w="460" w:type="dxa"/>
            <w:vAlign w:val="bottom"/>
            <w:tcBorders>
              <w:top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(41,171)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63,632</w:t>
            </w:r>
          </w:p>
        </w:tc>
        <w:tc>
          <w:tcPr>
            <w:tcW w:w="0" w:type="dxa"/>
            <w:vAlign w:val="bottom"/>
          </w:tcPr>
          <w:p>
            <w:pPr>
              <w:spacing w:after="0"/>
              <w:rPr>
                <w:sz w:val="1"/>
                <w:szCs w:val="1"/>
                <w:color w:val="auto"/>
              </w:rPr>
            </w:pPr>
          </w:p>
        </w:tc>
      </w:tr>
      <w:tr>
        <w:trPr>
          <w:trHeight w:val="230"/>
        </w:trPr>
        <w:tc>
          <w:tcPr>
            <w:tcW w:w="46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Share-based compensation expenses</w:t>
            </w: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8,762</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22,620</w:t>
            </w:r>
          </w:p>
        </w:tc>
        <w:tc>
          <w:tcPr>
            <w:tcW w:w="0" w:type="dxa"/>
            <w:vAlign w:val="bottom"/>
          </w:tcPr>
          <w:p>
            <w:pPr>
              <w:spacing w:after="0"/>
              <w:rPr>
                <w:sz w:val="1"/>
                <w:szCs w:val="1"/>
                <w:color w:val="auto"/>
              </w:rPr>
            </w:pPr>
          </w:p>
        </w:tc>
      </w:tr>
      <w:tr>
        <w:trPr>
          <w:trHeight w:val="230"/>
        </w:trPr>
        <w:tc>
          <w:tcPr>
            <w:tcW w:w="46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Restructuring and other related charges</w:t>
            </w: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Impairment and other charges</w:t>
            </w:r>
          </w:p>
        </w:tc>
        <w:tc>
          <w:tcPr>
            <w:tcW w:w="4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0" w:type="dxa"/>
            <w:vAlign w:val="bottom"/>
          </w:tcPr>
          <w:p>
            <w:pPr>
              <w:spacing w:after="0"/>
              <w:rPr>
                <w:sz w:val="1"/>
                <w:szCs w:val="1"/>
                <w:color w:val="auto"/>
              </w:rPr>
            </w:pPr>
          </w:p>
        </w:tc>
      </w:tr>
      <w:tr>
        <w:trPr>
          <w:trHeight w:val="230"/>
        </w:trPr>
        <w:tc>
          <w:tcPr>
            <w:tcW w:w="46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Cloud computing amortization</w:t>
            </w:r>
          </w:p>
        </w:tc>
        <w:tc>
          <w:tcPr>
            <w:tcW w:w="4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Majority owned equity investees AOI</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5,364</w:t>
            </w:r>
          </w:p>
        </w:tc>
        <w:tc>
          <w:tcPr>
            <w:tcW w:w="0" w:type="dxa"/>
            <w:vAlign w:val="bottom"/>
          </w:tcPr>
          <w:p>
            <w:pPr>
              <w:spacing w:after="0"/>
              <w:rPr>
                <w:sz w:val="1"/>
                <w:szCs w:val="1"/>
                <w:color w:val="auto"/>
              </w:rPr>
            </w:pPr>
          </w:p>
        </w:tc>
      </w:tr>
      <w:tr>
        <w:trPr>
          <w:trHeight w:val="223"/>
        </w:trPr>
        <w:tc>
          <w:tcPr>
            <w:tcW w:w="4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Adjusted operating income (loss)</w:t>
            </w:r>
          </w:p>
        </w:tc>
        <w:tc>
          <w:tcPr>
            <w:tcW w:w="460" w:type="dxa"/>
            <w:vAlign w:val="bottom"/>
            <w:tcBorders>
              <w:top w:val="single" w:sz="8" w:color="auto"/>
              <w:bottom w:val="single" w:sz="8" w:color="auto"/>
            </w:tcBorders>
          </w:tcPr>
          <w:p>
            <w:pPr>
              <w:jc w:val="right"/>
              <w:ind w:right="273"/>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121,692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(31,446)</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102,763</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17"/>
        </w:trPr>
        <w:tc>
          <w:tcPr>
            <w:tcW w:w="4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60" w:top="1094" w:right="339" w:bottom="1440" w:gutter="0" w:footer="0" w:header="0"/>
        </w:sectPr>
      </w:pPr>
    </w:p>
    <w:bookmarkStart w:id="12" w:name="page13"/>
    <w:bookmarkEnd w:id="12"/>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AMC NETWORKS INC.</w:t>
      </w:r>
    </w:p>
    <w:p>
      <w:pPr>
        <w:spacing w:after="0" w:line="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SUPPLEMENTAL FINANCIAL DATA</w:t>
      </w: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(Dollars in thousands)</w:t>
      </w:r>
    </w:p>
    <w:p>
      <w:pPr>
        <w:spacing w:after="0" w:line="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Twelve Months Ended December 31, 2022</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4620" w:type="dxa"/>
            <w:vAlign w:val="bottom"/>
          </w:tcPr>
          <w:p>
            <w:pPr>
              <w:spacing w:after="0"/>
              <w:rPr>
                <w:sz w:val="13"/>
                <w:szCs w:val="13"/>
                <w:color w:val="auto"/>
              </w:rPr>
            </w:pPr>
          </w:p>
        </w:tc>
        <w:tc>
          <w:tcPr>
            <w:tcW w:w="166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color w:val="auto"/>
              </w:rPr>
              <w:t>Domestic Operations</w:t>
            </w:r>
          </w:p>
        </w:tc>
        <w:tc>
          <w:tcPr>
            <w:tcW w:w="168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color w:val="auto"/>
              </w:rPr>
              <w:t>International and Other</w:t>
            </w:r>
          </w:p>
        </w:tc>
        <w:tc>
          <w:tcPr>
            <w:tcW w:w="160" w:type="dxa"/>
            <w:vAlign w:val="bottom"/>
          </w:tcPr>
          <w:p>
            <w:pPr>
              <w:spacing w:after="0"/>
              <w:rPr>
                <w:sz w:val="13"/>
                <w:szCs w:val="13"/>
                <w:color w:val="auto"/>
              </w:rPr>
            </w:pPr>
          </w:p>
        </w:tc>
        <w:tc>
          <w:tcPr>
            <w:tcW w:w="152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color w:val="auto"/>
                <w:w w:val="99"/>
              </w:rPr>
              <w:t>Corporate / Inter-</w:t>
            </w:r>
          </w:p>
        </w:tc>
        <w:tc>
          <w:tcPr>
            <w:tcW w:w="220" w:type="dxa"/>
            <w:vAlign w:val="bottom"/>
          </w:tcPr>
          <w:p>
            <w:pPr>
              <w:spacing w:after="0"/>
              <w:rPr>
                <w:sz w:val="13"/>
                <w:szCs w:val="13"/>
                <w:color w:val="auto"/>
              </w:rPr>
            </w:pPr>
          </w:p>
        </w:tc>
        <w:tc>
          <w:tcPr>
            <w:tcW w:w="1340" w:type="dxa"/>
            <w:vAlign w:val="bottom"/>
            <w:vMerge w:val="restart"/>
          </w:tcPr>
          <w:p>
            <w:pPr>
              <w:jc w:val="right"/>
              <w:ind w:right="271"/>
              <w:spacing w:after="0"/>
              <w:rPr>
                <w:sz w:val="20"/>
                <w:szCs w:val="20"/>
                <w:color w:val="auto"/>
              </w:rPr>
            </w:pPr>
            <w:r>
              <w:rPr>
                <w:rFonts w:ascii="Times New Roman" w:cs="Times New Roman" w:eastAsia="Times New Roman" w:hAnsi="Times New Roman"/>
                <w:sz w:val="16"/>
                <w:szCs w:val="16"/>
                <w:color w:val="auto"/>
              </w:rPr>
              <w:t>Consolidated</w:t>
            </w:r>
          </w:p>
        </w:tc>
        <w:tc>
          <w:tcPr>
            <w:tcW w:w="0" w:type="dxa"/>
            <w:vAlign w:val="bottom"/>
          </w:tcPr>
          <w:p>
            <w:pPr>
              <w:spacing w:after="0"/>
              <w:rPr>
                <w:sz w:val="1"/>
                <w:szCs w:val="1"/>
                <w:color w:val="auto"/>
              </w:rPr>
            </w:pPr>
          </w:p>
        </w:tc>
      </w:tr>
      <w:tr>
        <w:trPr>
          <w:trHeight w:val="213"/>
        </w:trPr>
        <w:tc>
          <w:tcPr>
            <w:tcW w:w="4620" w:type="dxa"/>
            <w:vAlign w:val="bottom"/>
          </w:tcPr>
          <w:p>
            <w:pPr>
              <w:spacing w:after="0"/>
              <w:rPr>
                <w:sz w:val="18"/>
                <w:szCs w:val="18"/>
                <w:color w:val="auto"/>
              </w:rPr>
            </w:pPr>
          </w:p>
        </w:tc>
        <w:tc>
          <w:tcPr>
            <w:tcW w:w="1660" w:type="dxa"/>
            <w:vAlign w:val="bottom"/>
            <w:gridSpan w:val="3"/>
            <w:vMerge w:val="continue"/>
          </w:tcPr>
          <w:p>
            <w:pPr>
              <w:spacing w:after="0"/>
              <w:rPr>
                <w:sz w:val="18"/>
                <w:szCs w:val="18"/>
                <w:color w:val="auto"/>
              </w:rPr>
            </w:pPr>
          </w:p>
        </w:tc>
        <w:tc>
          <w:tcPr>
            <w:tcW w:w="1680" w:type="dxa"/>
            <w:vAlign w:val="bottom"/>
            <w:gridSpan w:val="3"/>
            <w:vMerge w:val="continue"/>
          </w:tcPr>
          <w:p>
            <w:pPr>
              <w:spacing w:after="0"/>
              <w:rPr>
                <w:sz w:val="18"/>
                <w:szCs w:val="18"/>
                <w:color w:val="auto"/>
              </w:rPr>
            </w:pPr>
          </w:p>
        </w:tc>
        <w:tc>
          <w:tcPr>
            <w:tcW w:w="16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rPr>
              <w:t>segment Eliminations</w:t>
            </w:r>
          </w:p>
        </w:tc>
        <w:tc>
          <w:tcPr>
            <w:tcW w:w="22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62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Operating income (loss)</w:t>
            </w:r>
          </w:p>
        </w:tc>
        <w:tc>
          <w:tcPr>
            <w:tcW w:w="500" w:type="dxa"/>
            <w:vAlign w:val="bottom"/>
            <w:tcBorders>
              <w:top w:val="single" w:sz="8" w:color="auto"/>
            </w:tcBorders>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286,517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(202,632)</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86,916</w:t>
            </w:r>
          </w:p>
        </w:tc>
        <w:tc>
          <w:tcPr>
            <w:tcW w:w="0" w:type="dxa"/>
            <w:vAlign w:val="bottom"/>
          </w:tcPr>
          <w:p>
            <w:pPr>
              <w:spacing w:after="0"/>
              <w:rPr>
                <w:sz w:val="1"/>
                <w:szCs w:val="1"/>
                <w:color w:val="auto"/>
              </w:rPr>
            </w:pPr>
          </w:p>
        </w:tc>
      </w:tr>
      <w:tr>
        <w:trPr>
          <w:trHeight w:val="229"/>
        </w:trPr>
        <w:tc>
          <w:tcPr>
            <w:tcW w:w="46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Share-based compensation expenses</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29,986</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39,152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107,227</w:t>
            </w:r>
          </w:p>
        </w:tc>
        <w:tc>
          <w:tcPr>
            <w:tcW w:w="0" w:type="dxa"/>
            <w:vAlign w:val="bottom"/>
          </w:tcPr>
          <w:p>
            <w:pPr>
              <w:spacing w:after="0"/>
              <w:rPr>
                <w:sz w:val="1"/>
                <w:szCs w:val="1"/>
                <w:color w:val="auto"/>
              </w:rPr>
            </w:pPr>
          </w:p>
        </w:tc>
      </w:tr>
      <w:tr>
        <w:trPr>
          <w:trHeight w:val="230"/>
        </w:trPr>
        <w:tc>
          <w:tcPr>
            <w:tcW w:w="46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Restructuring and other related charges</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423,205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448,966</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Impairment and other charges</w:t>
            </w:r>
          </w:p>
        </w:tc>
        <w:tc>
          <w:tcPr>
            <w:tcW w:w="5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40,717</w:t>
            </w:r>
          </w:p>
        </w:tc>
        <w:tc>
          <w:tcPr>
            <w:tcW w:w="0" w:type="dxa"/>
            <w:vAlign w:val="bottom"/>
          </w:tcPr>
          <w:p>
            <w:pPr>
              <w:spacing w:after="0"/>
              <w:rPr>
                <w:sz w:val="1"/>
                <w:szCs w:val="1"/>
                <w:color w:val="auto"/>
              </w:rPr>
            </w:pPr>
          </w:p>
        </w:tc>
      </w:tr>
      <w:tr>
        <w:trPr>
          <w:trHeight w:val="229"/>
        </w:trPr>
        <w:tc>
          <w:tcPr>
            <w:tcW w:w="46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Cloud computing amortization</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7,342</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Majority owned equity investees AOI</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17,248</w:t>
            </w:r>
          </w:p>
        </w:tc>
        <w:tc>
          <w:tcPr>
            <w:tcW w:w="0" w:type="dxa"/>
            <w:vAlign w:val="bottom"/>
          </w:tcPr>
          <w:p>
            <w:pPr>
              <w:spacing w:after="0"/>
              <w:rPr>
                <w:sz w:val="1"/>
                <w:szCs w:val="1"/>
                <w:color w:val="auto"/>
              </w:rPr>
            </w:pPr>
          </w:p>
        </w:tc>
      </w:tr>
      <w:tr>
        <w:trPr>
          <w:trHeight w:val="223"/>
        </w:trPr>
        <w:tc>
          <w:tcPr>
            <w:tcW w:w="46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Adjusted operating income (loss)</w:t>
            </w:r>
          </w:p>
        </w:tc>
        <w:tc>
          <w:tcPr>
            <w:tcW w:w="50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789,396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68,989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(119,983)</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738,402</w:t>
            </w:r>
          </w:p>
        </w:tc>
        <w:tc>
          <w:tcPr>
            <w:tcW w:w="0" w:type="dxa"/>
            <w:vAlign w:val="bottom"/>
          </w:tcPr>
          <w:p>
            <w:pPr>
              <w:spacing w:after="0"/>
              <w:rPr>
                <w:sz w:val="1"/>
                <w:szCs w:val="1"/>
                <w:color w:val="auto"/>
              </w:rPr>
            </w:pPr>
          </w:p>
        </w:tc>
      </w:tr>
      <w:tr>
        <w:trPr>
          <w:trHeight w:val="21"/>
        </w:trPr>
        <w:tc>
          <w:tcPr>
            <w:tcW w:w="46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Twelve Months Ended December 31, 2021</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620" w:type="dxa"/>
            <w:vAlign w:val="bottom"/>
          </w:tcPr>
          <w:p>
            <w:pPr>
              <w:spacing w:after="0"/>
              <w:rPr>
                <w:sz w:val="13"/>
                <w:szCs w:val="13"/>
                <w:color w:val="auto"/>
              </w:rPr>
            </w:pPr>
          </w:p>
        </w:tc>
        <w:tc>
          <w:tcPr>
            <w:tcW w:w="166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color w:val="auto"/>
              </w:rPr>
              <w:t>Domestic Operations</w:t>
            </w:r>
          </w:p>
        </w:tc>
        <w:tc>
          <w:tcPr>
            <w:tcW w:w="168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color w:val="auto"/>
              </w:rPr>
              <w:t>International and Other</w:t>
            </w:r>
          </w:p>
        </w:tc>
        <w:tc>
          <w:tcPr>
            <w:tcW w:w="160" w:type="dxa"/>
            <w:vAlign w:val="bottom"/>
          </w:tcPr>
          <w:p>
            <w:pPr>
              <w:spacing w:after="0"/>
              <w:rPr>
                <w:sz w:val="13"/>
                <w:szCs w:val="13"/>
                <w:color w:val="auto"/>
              </w:rPr>
            </w:pPr>
          </w:p>
        </w:tc>
        <w:tc>
          <w:tcPr>
            <w:tcW w:w="152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color w:val="auto"/>
                <w:w w:val="99"/>
              </w:rPr>
              <w:t>Corporate / Inter-</w:t>
            </w:r>
          </w:p>
        </w:tc>
        <w:tc>
          <w:tcPr>
            <w:tcW w:w="220" w:type="dxa"/>
            <w:vAlign w:val="bottom"/>
          </w:tcPr>
          <w:p>
            <w:pPr>
              <w:spacing w:after="0"/>
              <w:rPr>
                <w:sz w:val="13"/>
                <w:szCs w:val="13"/>
                <w:color w:val="auto"/>
              </w:rPr>
            </w:pPr>
          </w:p>
        </w:tc>
        <w:tc>
          <w:tcPr>
            <w:tcW w:w="1340" w:type="dxa"/>
            <w:vAlign w:val="bottom"/>
            <w:vMerge w:val="restart"/>
          </w:tcPr>
          <w:p>
            <w:pPr>
              <w:jc w:val="right"/>
              <w:ind w:right="271"/>
              <w:spacing w:after="0"/>
              <w:rPr>
                <w:sz w:val="20"/>
                <w:szCs w:val="20"/>
                <w:color w:val="auto"/>
              </w:rPr>
            </w:pPr>
            <w:r>
              <w:rPr>
                <w:rFonts w:ascii="Times New Roman" w:cs="Times New Roman" w:eastAsia="Times New Roman" w:hAnsi="Times New Roman"/>
                <w:sz w:val="16"/>
                <w:szCs w:val="16"/>
                <w:color w:val="auto"/>
              </w:rPr>
              <w:t>Consolidated</w:t>
            </w:r>
          </w:p>
        </w:tc>
        <w:tc>
          <w:tcPr>
            <w:tcW w:w="0" w:type="dxa"/>
            <w:vAlign w:val="bottom"/>
          </w:tcPr>
          <w:p>
            <w:pPr>
              <w:spacing w:after="0"/>
              <w:rPr>
                <w:sz w:val="1"/>
                <w:szCs w:val="1"/>
                <w:color w:val="auto"/>
              </w:rPr>
            </w:pPr>
          </w:p>
        </w:tc>
      </w:tr>
      <w:tr>
        <w:trPr>
          <w:trHeight w:val="213"/>
        </w:trPr>
        <w:tc>
          <w:tcPr>
            <w:tcW w:w="4620" w:type="dxa"/>
            <w:vAlign w:val="bottom"/>
          </w:tcPr>
          <w:p>
            <w:pPr>
              <w:spacing w:after="0"/>
              <w:rPr>
                <w:sz w:val="18"/>
                <w:szCs w:val="18"/>
                <w:color w:val="auto"/>
              </w:rPr>
            </w:pPr>
          </w:p>
        </w:tc>
        <w:tc>
          <w:tcPr>
            <w:tcW w:w="1660" w:type="dxa"/>
            <w:vAlign w:val="bottom"/>
            <w:gridSpan w:val="3"/>
            <w:vMerge w:val="continue"/>
          </w:tcPr>
          <w:p>
            <w:pPr>
              <w:spacing w:after="0"/>
              <w:rPr>
                <w:sz w:val="18"/>
                <w:szCs w:val="18"/>
                <w:color w:val="auto"/>
              </w:rPr>
            </w:pPr>
          </w:p>
        </w:tc>
        <w:tc>
          <w:tcPr>
            <w:tcW w:w="1680" w:type="dxa"/>
            <w:vAlign w:val="bottom"/>
            <w:gridSpan w:val="3"/>
            <w:vMerge w:val="continue"/>
          </w:tcPr>
          <w:p>
            <w:pPr>
              <w:spacing w:after="0"/>
              <w:rPr>
                <w:sz w:val="18"/>
                <w:szCs w:val="18"/>
                <w:color w:val="auto"/>
              </w:rPr>
            </w:pPr>
          </w:p>
        </w:tc>
        <w:tc>
          <w:tcPr>
            <w:tcW w:w="16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rPr>
              <w:t>segment Eliminations</w:t>
            </w:r>
          </w:p>
        </w:tc>
        <w:tc>
          <w:tcPr>
            <w:tcW w:w="22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6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Operating income (loss)</w:t>
            </w:r>
          </w:p>
        </w:tc>
        <w:tc>
          <w:tcPr>
            <w:tcW w:w="500" w:type="dxa"/>
            <w:vAlign w:val="bottom"/>
            <w:tcBorders>
              <w:top w:val="single" w:sz="8" w:color="auto"/>
            </w:tcBorders>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617,875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(165,120)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489,922</w:t>
            </w:r>
          </w:p>
        </w:tc>
        <w:tc>
          <w:tcPr>
            <w:tcW w:w="0" w:type="dxa"/>
            <w:vAlign w:val="bottom"/>
          </w:tcPr>
          <w:p>
            <w:pPr>
              <w:spacing w:after="0"/>
              <w:rPr>
                <w:sz w:val="1"/>
                <w:szCs w:val="1"/>
                <w:color w:val="auto"/>
              </w:rPr>
            </w:pPr>
          </w:p>
        </w:tc>
      </w:tr>
      <w:tr>
        <w:trPr>
          <w:trHeight w:val="230"/>
        </w:trPr>
        <w:tc>
          <w:tcPr>
            <w:tcW w:w="46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Share-based compensation expenses</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47,925</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93,881</w:t>
            </w:r>
          </w:p>
        </w:tc>
        <w:tc>
          <w:tcPr>
            <w:tcW w:w="0" w:type="dxa"/>
            <w:vAlign w:val="bottom"/>
          </w:tcPr>
          <w:p>
            <w:pPr>
              <w:spacing w:after="0"/>
              <w:rPr>
                <w:sz w:val="1"/>
                <w:szCs w:val="1"/>
                <w:color w:val="auto"/>
              </w:rPr>
            </w:pPr>
          </w:p>
        </w:tc>
      </w:tr>
      <w:tr>
        <w:trPr>
          <w:trHeight w:val="229"/>
        </w:trPr>
        <w:tc>
          <w:tcPr>
            <w:tcW w:w="46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Restructuring and other related charges</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10,378</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Impairment and other charges</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159,610</w:t>
            </w:r>
          </w:p>
        </w:tc>
        <w:tc>
          <w:tcPr>
            <w:tcW w:w="0" w:type="dxa"/>
            <w:vAlign w:val="bottom"/>
          </w:tcPr>
          <w:p>
            <w:pPr>
              <w:spacing w:after="0"/>
              <w:rPr>
                <w:sz w:val="1"/>
                <w:szCs w:val="1"/>
                <w:color w:val="auto"/>
              </w:rPr>
            </w:pPr>
          </w:p>
        </w:tc>
      </w:tr>
      <w:tr>
        <w:trPr>
          <w:trHeight w:val="230"/>
        </w:trPr>
        <w:tc>
          <w:tcPr>
            <w:tcW w:w="46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Cloud computing amortization</w:t>
            </w:r>
          </w:p>
        </w:tc>
        <w:tc>
          <w:tcPr>
            <w:tcW w:w="5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Majority owned equity investees AOI</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11,948</w:t>
            </w:r>
          </w:p>
        </w:tc>
        <w:tc>
          <w:tcPr>
            <w:tcW w:w="0" w:type="dxa"/>
            <w:vAlign w:val="bottom"/>
          </w:tcPr>
          <w:p>
            <w:pPr>
              <w:spacing w:after="0"/>
              <w:rPr>
                <w:sz w:val="1"/>
                <w:szCs w:val="1"/>
                <w:color w:val="auto"/>
              </w:rPr>
            </w:pPr>
          </w:p>
        </w:tc>
      </w:tr>
      <w:tr>
        <w:trPr>
          <w:trHeight w:val="223"/>
        </w:trPr>
        <w:tc>
          <w:tcPr>
            <w:tcW w:w="4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Adjusted operating income (loss)</w:t>
            </w:r>
          </w:p>
        </w:tc>
        <w:tc>
          <w:tcPr>
            <w:tcW w:w="50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845,441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83,294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(112,665)</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816,070</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00"/>
          </w:cols>
          <w:pgMar w:left="360" w:top="1094"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57"/>
        </w:trPr>
        <w:tc>
          <w:tcPr>
            <w:tcW w:w="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5400" w:type="dxa"/>
            <w:vAlign w:val="bottom"/>
            <w:gridSpan w:val="2"/>
          </w:tcPr>
          <w:p>
            <w:pPr>
              <w:jc w:val="center"/>
              <w:ind w:right="1010"/>
              <w:spacing w:after="0"/>
              <w:rPr>
                <w:sz w:val="20"/>
                <w:szCs w:val="20"/>
                <w:color w:val="auto"/>
              </w:rPr>
            </w:pPr>
            <w:r>
              <w:rPr>
                <w:rFonts w:ascii="Times New Roman" w:cs="Times New Roman" w:eastAsia="Times New Roman" w:hAnsi="Times New Roman"/>
                <w:sz w:val="22"/>
                <w:szCs w:val="22"/>
                <w:b w:val="1"/>
                <w:bCs w:val="1"/>
                <w:color w:val="auto"/>
                <w:w w:val="97"/>
              </w:rPr>
              <w:t>AMC NETWORKS INC.</w:t>
            </w:r>
          </w:p>
        </w:tc>
        <w:tc>
          <w:tcPr>
            <w:tcW w:w="20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5400" w:type="dxa"/>
            <w:vAlign w:val="bottom"/>
            <w:gridSpan w:val="2"/>
          </w:tcPr>
          <w:p>
            <w:pPr>
              <w:jc w:val="center"/>
              <w:ind w:right="1030"/>
              <w:spacing w:after="0" w:line="247" w:lineRule="exact"/>
              <w:rPr>
                <w:sz w:val="20"/>
                <w:szCs w:val="20"/>
                <w:color w:val="auto"/>
              </w:rPr>
            </w:pPr>
            <w:r>
              <w:rPr>
                <w:rFonts w:ascii="Times New Roman" w:cs="Times New Roman" w:eastAsia="Times New Roman" w:hAnsi="Times New Roman"/>
                <w:sz w:val="22"/>
                <w:szCs w:val="22"/>
                <w:b w:val="1"/>
                <w:bCs w:val="1"/>
                <w:color w:val="auto"/>
                <w:w w:val="97"/>
              </w:rPr>
              <w:t>SUPPLEMENTAL FINANCIAL DATA</w:t>
            </w:r>
          </w:p>
        </w:tc>
        <w:tc>
          <w:tcPr>
            <w:tcW w:w="2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5400" w:type="dxa"/>
            <w:vAlign w:val="bottom"/>
            <w:gridSpan w:val="2"/>
          </w:tcPr>
          <w:p>
            <w:pPr>
              <w:jc w:val="center"/>
              <w:ind w:right="1030"/>
              <w:spacing w:after="0"/>
              <w:rPr>
                <w:sz w:val="20"/>
                <w:szCs w:val="20"/>
                <w:color w:val="auto"/>
              </w:rPr>
            </w:pPr>
            <w:r>
              <w:rPr>
                <w:rFonts w:ascii="Times New Roman" w:cs="Times New Roman" w:eastAsia="Times New Roman" w:hAnsi="Times New Roman"/>
                <w:sz w:val="20"/>
                <w:szCs w:val="20"/>
                <w:b w:val="1"/>
                <w:bCs w:val="1"/>
                <w:color w:val="auto"/>
                <w:w w:val="99"/>
              </w:rPr>
              <w:t>(Dollars in thousands)</w:t>
            </w:r>
          </w:p>
        </w:tc>
        <w:tc>
          <w:tcPr>
            <w:tcW w:w="2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5400" w:type="dxa"/>
            <w:vAlign w:val="bottom"/>
            <w:gridSpan w:val="2"/>
          </w:tcPr>
          <w:p>
            <w:pPr>
              <w:jc w:val="center"/>
              <w:ind w:right="1010"/>
              <w:spacing w:after="0"/>
              <w:rPr>
                <w:sz w:val="20"/>
                <w:szCs w:val="20"/>
                <w:color w:val="auto"/>
              </w:rPr>
            </w:pPr>
            <w:r>
              <w:rPr>
                <w:rFonts w:ascii="Times New Roman" w:cs="Times New Roman" w:eastAsia="Times New Roman" w:hAnsi="Times New Roman"/>
                <w:sz w:val="20"/>
                <w:szCs w:val="20"/>
                <w:b w:val="1"/>
                <w:bCs w:val="1"/>
                <w:color w:val="auto"/>
                <w:w w:val="98"/>
              </w:rPr>
              <w:t>(Unaudited)</w:t>
            </w:r>
          </w:p>
        </w:tc>
        <w:tc>
          <w:tcPr>
            <w:tcW w:w="20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10"/>
        </w:trPr>
        <w:tc>
          <w:tcPr>
            <w:tcW w:w="20" w:type="dxa"/>
            <w:vAlign w:val="bottom"/>
          </w:tcPr>
          <w:p>
            <w:pPr>
              <w:spacing w:after="0"/>
              <w:rPr>
                <w:sz w:val="24"/>
                <w:szCs w:val="24"/>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Capitalization</w:t>
            </w:r>
          </w:p>
        </w:tc>
        <w:tc>
          <w:tcPr>
            <w:tcW w:w="5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5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3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400" w:type="dxa"/>
            <w:vAlign w:val="bottom"/>
            <w:gridSpan w:val="2"/>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930,002</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3"/>
        </w:trPr>
        <w:tc>
          <w:tcPr>
            <w:tcW w:w="2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2360" w:type="dxa"/>
            <w:vAlign w:val="bottom"/>
            <w:shd w:val="clear" w:color="auto" w:fill="CCEEFF"/>
          </w:tcPr>
          <w:p>
            <w:pPr>
              <w:spacing w:after="0"/>
              <w:rPr>
                <w:sz w:val="8"/>
                <w:szCs w:val="8"/>
                <w:color w:val="auto"/>
              </w:rPr>
            </w:pPr>
          </w:p>
        </w:tc>
        <w:tc>
          <w:tcPr>
            <w:tcW w:w="5400" w:type="dxa"/>
            <w:vAlign w:val="bottom"/>
            <w:gridSpan w:val="2"/>
            <w:vMerge w:val="continue"/>
            <w:shd w:val="clear" w:color="auto" w:fill="CCEEFF"/>
          </w:tcPr>
          <w:p>
            <w:pPr>
              <w:spacing w:after="0"/>
              <w:rPr>
                <w:sz w:val="8"/>
                <w:szCs w:val="8"/>
                <w:color w:val="auto"/>
              </w:rPr>
            </w:pPr>
          </w:p>
        </w:tc>
        <w:tc>
          <w:tcPr>
            <w:tcW w:w="2000" w:type="dxa"/>
            <w:vAlign w:val="bottom"/>
            <w:vMerge w:val="continue"/>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46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Credit facility debt </w:t>
            </w:r>
            <w:r>
              <w:rPr>
                <w:rFonts w:ascii="Times New Roman" w:cs="Times New Roman" w:eastAsia="Times New Roman" w:hAnsi="Times New Roman"/>
                <w:sz w:val="23"/>
                <w:szCs w:val="23"/>
                <w:color w:val="auto"/>
                <w:vertAlign w:val="superscript"/>
              </w:rPr>
              <w:t>(a)</w:t>
            </w:r>
          </w:p>
        </w:tc>
        <w:tc>
          <w:tcPr>
            <w:tcW w:w="54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641,250</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460" w:type="dxa"/>
            <w:vAlign w:val="bottom"/>
            <w:tcBorders>
              <w:bottom w:val="single" w:sz="8" w:color="CCEEFF"/>
            </w:tcBorders>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Senior notes </w:t>
            </w:r>
            <w:r>
              <w:rPr>
                <w:rFonts w:ascii="Times New Roman" w:cs="Times New Roman" w:eastAsia="Times New Roman" w:hAnsi="Times New Roman"/>
                <w:sz w:val="23"/>
                <w:szCs w:val="23"/>
                <w:color w:val="auto"/>
                <w:vertAlign w:val="superscript"/>
              </w:rPr>
              <w:t>(a)</w:t>
            </w:r>
          </w:p>
        </w:tc>
        <w:tc>
          <w:tcPr>
            <w:tcW w:w="51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2,200,000</w:t>
            </w:r>
          </w:p>
        </w:tc>
        <w:tc>
          <w:tcPr>
            <w:tcW w:w="3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4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debt</w:t>
            </w:r>
          </w:p>
        </w:tc>
        <w:tc>
          <w:tcPr>
            <w:tcW w:w="5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2,841,250</w:t>
            </w:r>
          </w:p>
        </w:tc>
        <w:tc>
          <w:tcPr>
            <w:tcW w:w="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5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5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3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debt</w:t>
            </w:r>
          </w:p>
        </w:tc>
        <w:tc>
          <w:tcPr>
            <w:tcW w:w="54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1,911,248</w:t>
            </w:r>
          </w:p>
        </w:tc>
        <w:tc>
          <w:tcPr>
            <w:tcW w:w="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5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5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51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23,235</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debt and finance leases</w:t>
            </w:r>
          </w:p>
        </w:tc>
        <w:tc>
          <w:tcPr>
            <w:tcW w:w="51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1,934,483</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5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360" w:type="dxa"/>
            <w:vAlign w:val="bottom"/>
            <w:shd w:val="clear" w:color="auto" w:fill="CCEEFF"/>
          </w:tcPr>
          <w:p>
            <w:pPr>
              <w:spacing w:after="0"/>
              <w:rPr>
                <w:sz w:val="24"/>
                <w:szCs w:val="24"/>
                <w:color w:val="auto"/>
              </w:rPr>
            </w:pPr>
          </w:p>
        </w:tc>
        <w:tc>
          <w:tcPr>
            <w:tcW w:w="51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0" w:type="dxa"/>
            <w:vAlign w:val="bottom"/>
          </w:tcPr>
          <w:p>
            <w:pPr>
              <w:jc w:val="center"/>
              <w:ind w:right="131"/>
              <w:spacing w:after="0" w:line="162" w:lineRule="exact"/>
              <w:rPr>
                <w:sz w:val="20"/>
                <w:szCs w:val="20"/>
                <w:color w:val="auto"/>
              </w:rPr>
            </w:pPr>
            <w:r>
              <w:rPr>
                <w:rFonts w:ascii="Times New Roman" w:cs="Times New Roman" w:eastAsia="Times New Roman" w:hAnsi="Times New Roman"/>
                <w:sz w:val="16"/>
                <w:szCs w:val="16"/>
                <w:b w:val="1"/>
                <w:bCs w:val="1"/>
                <w:color w:val="auto"/>
              </w:rPr>
              <w:t>Twelve Months Ended</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2360" w:type="dxa"/>
            <w:vAlign w:val="bottom"/>
            <w:tcBorders>
              <w:bottom w:val="single" w:sz="8" w:color="CCEEFF"/>
            </w:tcBorders>
          </w:tcPr>
          <w:p>
            <w:pPr>
              <w:spacing w:after="0"/>
              <w:rPr>
                <w:sz w:val="18"/>
                <w:szCs w:val="18"/>
                <w:color w:val="auto"/>
              </w:rPr>
            </w:pPr>
          </w:p>
        </w:tc>
        <w:tc>
          <w:tcPr>
            <w:tcW w:w="5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3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3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Income (GAAP)</w:t>
            </w:r>
          </w:p>
        </w:tc>
        <w:tc>
          <w:tcPr>
            <w:tcW w:w="51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86,916</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5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29,986</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107,227</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Restructuring and other related charges</w:t>
            </w:r>
          </w:p>
        </w:tc>
        <w:tc>
          <w:tcPr>
            <w:tcW w:w="5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448,966</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Impairment and other charges</w:t>
            </w:r>
          </w:p>
        </w:tc>
        <w:tc>
          <w:tcPr>
            <w:tcW w:w="5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40,717</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Cloud computing amortization</w:t>
            </w:r>
          </w:p>
        </w:tc>
        <w:tc>
          <w:tcPr>
            <w:tcW w:w="5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7,342</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Majority owned equity investees AOI</w:t>
            </w:r>
          </w:p>
        </w:tc>
        <w:tc>
          <w:tcPr>
            <w:tcW w:w="51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17,248</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Adjusted Operating Income (Non-GAAP)</w:t>
            </w:r>
          </w:p>
        </w:tc>
        <w:tc>
          <w:tcPr>
            <w:tcW w:w="51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738,402</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5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360" w:type="dxa"/>
            <w:vAlign w:val="bottom"/>
            <w:shd w:val="clear" w:color="auto" w:fill="CCEEFF"/>
          </w:tcPr>
          <w:p>
            <w:pPr>
              <w:spacing w:after="0"/>
              <w:rPr>
                <w:sz w:val="24"/>
                <w:szCs w:val="24"/>
                <w:color w:val="auto"/>
              </w:rPr>
            </w:pPr>
          </w:p>
        </w:tc>
        <w:tc>
          <w:tcPr>
            <w:tcW w:w="51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3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xml:space="preserve">Leverage ratio </w:t>
            </w:r>
            <w:r>
              <w:rPr>
                <w:rFonts w:ascii="Times New Roman" w:cs="Times New Roman" w:eastAsia="Times New Roman" w:hAnsi="Times New Roman"/>
                <w:sz w:val="23"/>
                <w:szCs w:val="23"/>
                <w:color w:val="auto"/>
                <w:vertAlign w:val="superscript"/>
              </w:rPr>
              <w:t>(b)</w:t>
            </w:r>
          </w:p>
        </w:tc>
        <w:tc>
          <w:tcPr>
            <w:tcW w:w="5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240" w:hanging="232"/>
        <w:spacing w:after="0"/>
        <w:tabs>
          <w:tab w:leader="none" w:pos="2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aggregate principal amount of the debt.</w:t>
      </w:r>
    </w:p>
    <w:p>
      <w:pPr>
        <w:spacing w:after="0" w:line="27" w:lineRule="exact"/>
        <w:rPr>
          <w:rFonts w:ascii="Times New Roman" w:cs="Times New Roman" w:eastAsia="Times New Roman" w:hAnsi="Times New Roman"/>
          <w:sz w:val="14"/>
          <w:szCs w:val="14"/>
          <w:color w:val="auto"/>
        </w:rPr>
      </w:pPr>
    </w:p>
    <w:p>
      <w:pPr>
        <w:ind w:left="260" w:right="80" w:hanging="252"/>
        <w:spacing w:after="0" w:line="283" w:lineRule="auto"/>
        <w:tabs>
          <w:tab w:leader="none" w:pos="252"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net debt and finance leases divided by Adjusted Operating Income for the twelve months ended December 31, 2022. This ratio differs from the calculation contained in the Company's credit facility. No adjustments have been made for consolidated entities that are not 100% owned.</w:t>
      </w:r>
    </w:p>
    <w:p>
      <w:pPr>
        <w:sectPr>
          <w:pgSz w:w="11900" w:h="16838" w:orient="portrait"/>
          <w:cols w:equalWidth="0" w:num="1">
            <w:col w:w="11240"/>
          </w:cols>
          <w:pgMar w:left="320" w:top="1094" w:right="339" w:bottom="1440" w:gutter="0" w:footer="0" w:header="0"/>
        </w:sectPr>
      </w:pPr>
    </w:p>
    <w:p>
      <w:pPr>
        <w:spacing w:after="0" w:line="3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auto"/>
        </w:rPr>
        <w:t>Free Cash Flow</w:t>
      </w:r>
    </w:p>
    <w:p>
      <w:pPr>
        <w:spacing w:after="0" w:line="256" w:lineRule="exact"/>
        <w:rPr>
          <w:sz w:val="20"/>
          <w:szCs w:val="20"/>
          <w:color w:val="auto"/>
        </w:rPr>
      </w:pPr>
    </w:p>
    <w:p>
      <w:pPr>
        <w:ind w:left="140" w:right="1340"/>
        <w:spacing w:after="0" w:line="331" w:lineRule="auto"/>
        <w:rPr>
          <w:sz w:val="20"/>
          <w:szCs w:val="20"/>
          <w:color w:val="auto"/>
        </w:rPr>
      </w:pPr>
      <w:r>
        <w:rPr>
          <w:rFonts w:ascii="Times New Roman" w:cs="Times New Roman" w:eastAsia="Times New Roman" w:hAnsi="Times New Roman"/>
          <w:sz w:val="18"/>
          <w:szCs w:val="18"/>
          <w:color w:val="auto"/>
        </w:rPr>
        <w:t>Net cash provided by operating activities Less: capital expenditures</w:t>
      </w:r>
    </w:p>
    <w:p>
      <w:pPr>
        <w:spacing w:after="0" w:line="1" w:lineRule="exact"/>
        <w:rPr>
          <w:sz w:val="20"/>
          <w:szCs w:val="20"/>
          <w:color w:val="auto"/>
        </w:rPr>
      </w:pPr>
    </w:p>
    <w:p>
      <w:pPr>
        <w:ind w:left="140" w:right="1040"/>
        <w:spacing w:after="0" w:line="292" w:lineRule="auto"/>
        <w:rPr>
          <w:sz w:val="20"/>
          <w:szCs w:val="20"/>
          <w:color w:val="auto"/>
        </w:rPr>
      </w:pPr>
      <w:r>
        <w:rPr>
          <w:rFonts w:ascii="Times New Roman" w:cs="Times New Roman" w:eastAsia="Times New Roman" w:hAnsi="Times New Roman"/>
          <w:sz w:val="18"/>
          <w:szCs w:val="18"/>
          <w:color w:val="auto"/>
        </w:rPr>
        <w:t>Less: distributions to noncontrolling interests Free cash flow</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180" w:type="dxa"/>
            <w:vAlign w:val="bottom"/>
          </w:tcPr>
          <w:p>
            <w:pPr>
              <w:spacing w:after="0"/>
              <w:rPr>
                <w:sz w:val="18"/>
                <w:szCs w:val="18"/>
                <w:color w:val="auto"/>
              </w:rPr>
            </w:pPr>
          </w:p>
        </w:tc>
        <w:tc>
          <w:tcPr>
            <w:tcW w:w="288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180" w:type="dxa"/>
            <w:vAlign w:val="bottom"/>
          </w:tcPr>
          <w:p>
            <w:pPr>
              <w:spacing w:after="0"/>
              <w:rPr>
                <w:sz w:val="18"/>
                <w:szCs w:val="18"/>
                <w:color w:val="auto"/>
              </w:rPr>
            </w:pPr>
          </w:p>
        </w:tc>
        <w:tc>
          <w:tcPr>
            <w:tcW w:w="2840" w:type="dxa"/>
            <w:vAlign w:val="bottom"/>
            <w:gridSpan w:val="4"/>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Twelve Months Ended December 31,</w:t>
            </w:r>
          </w:p>
        </w:tc>
      </w:tr>
      <w:tr>
        <w:trPr>
          <w:trHeight w:val="211"/>
        </w:trPr>
        <w:tc>
          <w:tcPr>
            <w:tcW w:w="1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65"/>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145,243</w:t>
            </w:r>
          </w:p>
        </w:tc>
        <w:tc>
          <w:tcPr>
            <w:tcW w:w="12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center"/>
              <w:ind w:left="352"/>
              <w:spacing w:after="0"/>
              <w:rPr>
                <w:sz w:val="20"/>
                <w:szCs w:val="20"/>
                <w:color w:val="auto"/>
              </w:rPr>
            </w:pPr>
            <w:r>
              <w:rPr>
                <w:rFonts w:ascii="Times New Roman" w:cs="Times New Roman" w:eastAsia="Times New Roman" w:hAnsi="Times New Roman"/>
                <w:sz w:val="18"/>
                <w:szCs w:val="18"/>
                <w:color w:val="auto"/>
              </w:rPr>
              <w:t>99,490</w:t>
            </w:r>
          </w:p>
        </w:tc>
        <w:tc>
          <w:tcPr>
            <w:tcW w:w="8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181,834</w:t>
            </w:r>
          </w:p>
        </w:tc>
        <w:tc>
          <w:tcPr>
            <w:tcW w:w="12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143,474</w:t>
            </w:r>
          </w:p>
        </w:tc>
      </w:tr>
      <w:tr>
        <w:trPr>
          <w:trHeight w:val="279"/>
        </w:trPr>
        <w:tc>
          <w:tcPr>
            <w:tcW w:w="1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(10,762)</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center"/>
              <w:ind w:left="332"/>
              <w:spacing w:after="0"/>
              <w:rPr>
                <w:sz w:val="20"/>
                <w:szCs w:val="20"/>
                <w:color w:val="auto"/>
              </w:rPr>
            </w:pPr>
            <w:r>
              <w:rPr>
                <w:rFonts w:ascii="Times New Roman" w:cs="Times New Roman" w:eastAsia="Times New Roman" w:hAnsi="Times New Roman"/>
                <w:sz w:val="18"/>
                <w:szCs w:val="18"/>
                <w:color w:val="auto"/>
                <w:w w:val="97"/>
              </w:rPr>
              <w:t>(12,603)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(44,272)</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(42,572)</w:t>
            </w:r>
          </w:p>
        </w:tc>
      </w:tr>
      <w:tr>
        <w:trPr>
          <w:trHeight w:val="234"/>
        </w:trPr>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(6,725)</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left="332"/>
              <w:spacing w:after="0"/>
              <w:rPr>
                <w:sz w:val="20"/>
                <w:szCs w:val="20"/>
                <w:color w:val="auto"/>
              </w:rPr>
            </w:pPr>
            <w:r>
              <w:rPr>
                <w:rFonts w:ascii="Times New Roman" w:cs="Times New Roman" w:eastAsia="Times New Roman" w:hAnsi="Times New Roman"/>
                <w:sz w:val="18"/>
                <w:szCs w:val="18"/>
                <w:color w:val="auto"/>
                <w:w w:val="97"/>
              </w:rPr>
              <w:t>(14,508)</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(34,957)</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(29,414)</w:t>
            </w:r>
          </w:p>
        </w:tc>
      </w:tr>
      <w:tr>
        <w:trPr>
          <w:trHeight w:val="250"/>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127,756</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center"/>
              <w:ind w:left="352"/>
              <w:spacing w:after="0"/>
              <w:rPr>
                <w:sz w:val="20"/>
                <w:szCs w:val="20"/>
                <w:color w:val="auto"/>
              </w:rPr>
            </w:pPr>
            <w:r>
              <w:rPr>
                <w:rFonts w:ascii="Times New Roman" w:cs="Times New Roman" w:eastAsia="Times New Roman" w:hAnsi="Times New Roman"/>
                <w:sz w:val="18"/>
                <w:szCs w:val="18"/>
                <w:color w:val="auto"/>
              </w:rPr>
              <w:t>72,379</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102,605</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71,488</w:t>
            </w:r>
          </w:p>
        </w:tc>
      </w:tr>
      <w:tr>
        <w:trPr>
          <w:trHeight w:val="40"/>
        </w:trPr>
        <w:tc>
          <w:tcPr>
            <w:tcW w:w="1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-736600</wp:posOffset>
            </wp:positionV>
            <wp:extent cx="7132320" cy="2146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-376555</wp:posOffset>
            </wp:positionV>
            <wp:extent cx="713232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40" w:space="720"/>
            <w:col w:w="6080"/>
          </w:cols>
          <w:pgMar w:left="320" w:top="1094" w:right="339" w:bottom="1440" w:gutter="0" w:footer="0" w:header="0"/>
          <w:type w:val="continuous"/>
        </w:sect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094" w:right="339" w:bottom="1440" w:gutter="0" w:footer="0" w:header="0"/>
          <w:type w:val="continuous"/>
        </w:sectPr>
      </w:pPr>
    </w:p>
    <w:bookmarkStart w:id="14" w:name="page15"/>
    <w:bookmarkEnd w:id="1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Adjusted Earnings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Reported Results (GAAP)</w:t>
      </w:r>
    </w:p>
    <w:p>
      <w:pPr>
        <w:spacing w:after="0" w:line="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Adjustments:</w:t>
      </w:r>
    </w:p>
    <w:p>
      <w:pPr>
        <w:spacing w:after="0" w:line="32" w:lineRule="exact"/>
        <w:rPr>
          <w:sz w:val="20"/>
          <w:szCs w:val="20"/>
          <w:color w:val="auto"/>
        </w:rPr>
      </w:pPr>
    </w:p>
    <w:p>
      <w:pPr>
        <w:ind w:left="260"/>
        <w:spacing w:after="0" w:line="245" w:lineRule="auto"/>
        <w:rPr>
          <w:sz w:val="20"/>
          <w:szCs w:val="20"/>
          <w:color w:val="auto"/>
        </w:rPr>
      </w:pPr>
      <w:r>
        <w:rPr>
          <w:rFonts w:ascii="Times New Roman" w:cs="Times New Roman" w:eastAsia="Times New Roman" w:hAnsi="Times New Roman"/>
          <w:sz w:val="16"/>
          <w:szCs w:val="16"/>
          <w:color w:val="auto"/>
        </w:rPr>
        <w:t>Amortization of acquisition-related intangible assets</w:t>
      </w:r>
    </w:p>
    <w:p>
      <w:pPr>
        <w:spacing w:after="0" w:line="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Restructuring and other related charges</w:t>
      </w:r>
    </w:p>
    <w:p>
      <w:pPr>
        <w:spacing w:after="0" w:line="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Impairment and other charges</w:t>
      </w:r>
    </w:p>
    <w:p>
      <w:pPr>
        <w:spacing w:after="0" w:line="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Loss on extinguishment of debt</w:t>
      </w:r>
    </w:p>
    <w:p>
      <w:pPr>
        <w:spacing w:after="0" w:line="2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Dilutive share basis difference - GAAP vs.</w:t>
      </w:r>
    </w:p>
    <w:p>
      <w:pPr>
        <w:ind w:left="260"/>
        <w:spacing w:after="0" w:line="222" w:lineRule="auto"/>
        <w:rPr>
          <w:sz w:val="20"/>
          <w:szCs w:val="20"/>
          <w:color w:val="auto"/>
        </w:rPr>
      </w:pPr>
      <w:r>
        <w:rPr>
          <w:rFonts w:ascii="Times New Roman" w:cs="Times New Roman" w:eastAsia="Times New Roman" w:hAnsi="Times New Roman"/>
          <w:sz w:val="16"/>
          <w:szCs w:val="16"/>
          <w:color w:val="auto"/>
        </w:rPr>
        <w:t>Adjusted</w:t>
      </w:r>
      <w:r>
        <w:rPr>
          <w:rFonts w:ascii="Times New Roman" w:cs="Times New Roman" w:eastAsia="Times New Roman" w:hAnsi="Times New Roman"/>
          <w:sz w:val="21"/>
          <w:szCs w:val="21"/>
          <w:color w:val="auto"/>
          <w:vertAlign w:val="superscript"/>
        </w:rPr>
        <w:t>(1)</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Adjusted Results (Non-GAAP)</w:t>
      </w:r>
    </w:p>
    <w:p>
      <w:pPr>
        <w:spacing w:after="0" w:line="20" w:lineRule="exact"/>
        <w:rPr>
          <w:sz w:val="20"/>
          <w:szCs w:val="20"/>
          <w:color w:val="auto"/>
        </w:rPr>
      </w:pPr>
      <w:r>
        <w:rPr>
          <w:sz w:val="20"/>
          <w:szCs w:val="20"/>
          <w:color w:val="auto"/>
        </w:rPr>
        <w:br w:type="column"/>
      </w:r>
    </w:p>
    <w:p>
      <w:pPr>
        <w:jc w:val="center"/>
        <w:ind w:right="3500"/>
        <w:spacing w:after="0"/>
        <w:rPr>
          <w:sz w:val="20"/>
          <w:szCs w:val="20"/>
          <w:color w:val="auto"/>
        </w:rPr>
      </w:pPr>
      <w:r>
        <w:rPr>
          <w:rFonts w:ascii="Times New Roman" w:cs="Times New Roman" w:eastAsia="Times New Roman" w:hAnsi="Times New Roman"/>
          <w:sz w:val="22"/>
          <w:szCs w:val="22"/>
          <w:b w:val="1"/>
          <w:bCs w:val="1"/>
          <w:color w:val="auto"/>
        </w:rPr>
        <w:t>AMC NETWORKS INC.</w:t>
      </w:r>
    </w:p>
    <w:p>
      <w:pPr>
        <w:spacing w:after="0" w:line="24" w:lineRule="exact"/>
        <w:rPr>
          <w:sz w:val="20"/>
          <w:szCs w:val="20"/>
          <w:color w:val="auto"/>
        </w:rPr>
      </w:pPr>
    </w:p>
    <w:p>
      <w:pPr>
        <w:jc w:val="center"/>
        <w:ind w:right="3500"/>
        <w:spacing w:after="0"/>
        <w:rPr>
          <w:sz w:val="20"/>
          <w:szCs w:val="20"/>
          <w:color w:val="auto"/>
        </w:rPr>
      </w:pPr>
      <w:r>
        <w:rPr>
          <w:rFonts w:ascii="Times New Roman" w:cs="Times New Roman" w:eastAsia="Times New Roman" w:hAnsi="Times New Roman"/>
          <w:sz w:val="22"/>
          <w:szCs w:val="22"/>
          <w:b w:val="1"/>
          <w:bCs w:val="1"/>
          <w:color w:val="auto"/>
        </w:rPr>
        <w:t>SUPPLEMENTAL FINANCIAL DATA</w:t>
      </w:r>
    </w:p>
    <w:p>
      <w:pPr>
        <w:jc w:val="center"/>
        <w:ind w:right="3500"/>
        <w:spacing w:after="0"/>
        <w:rPr>
          <w:sz w:val="20"/>
          <w:szCs w:val="20"/>
          <w:color w:val="auto"/>
        </w:rPr>
      </w:pPr>
      <w:r>
        <w:rPr>
          <w:rFonts w:ascii="Times New Roman" w:cs="Times New Roman" w:eastAsia="Times New Roman" w:hAnsi="Times New Roman"/>
          <w:sz w:val="20"/>
          <w:szCs w:val="20"/>
          <w:b w:val="1"/>
          <w:bCs w:val="1"/>
          <w:color w:val="auto"/>
        </w:rPr>
        <w:t>(Dollars in thousands, except per share amounts)</w:t>
      </w:r>
    </w:p>
    <w:p>
      <w:pPr>
        <w:spacing w:after="0" w:line="6" w:lineRule="exact"/>
        <w:rPr>
          <w:sz w:val="20"/>
          <w:szCs w:val="20"/>
          <w:color w:val="auto"/>
        </w:rPr>
      </w:pPr>
    </w:p>
    <w:p>
      <w:pPr>
        <w:jc w:val="center"/>
        <w:ind w:right="3500"/>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0" w:lineRule="exact"/>
        <w:rPr>
          <w:sz w:val="20"/>
          <w:szCs w:val="20"/>
          <w:color w:val="auto"/>
        </w:rPr>
      </w:pP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Three Months Ended December 31, 2022</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14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color w:val="auto"/>
              </w:rPr>
              <w:t>Income (loss) from</w:t>
            </w:r>
          </w:p>
        </w:tc>
        <w:tc>
          <w:tcPr>
            <w:tcW w:w="10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Income tax (expense)</w:t>
            </w:r>
          </w:p>
        </w:tc>
        <w:tc>
          <w:tcPr>
            <w:tcW w:w="16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color w:val="auto"/>
              </w:rPr>
              <w:t>Net (income) loss</w:t>
            </w:r>
          </w:p>
        </w:tc>
        <w:tc>
          <w:tcPr>
            <w:tcW w:w="12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color w:val="auto"/>
              </w:rPr>
              <w:t>Net income (loss)</w:t>
            </w:r>
          </w:p>
        </w:tc>
        <w:tc>
          <w:tcPr>
            <w:tcW w:w="1440" w:type="dxa"/>
            <w:vAlign w:val="bottom"/>
            <w:tcBorders>
              <w:top w:val="single" w:sz="8" w:color="auto"/>
            </w:tcBorders>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Diluted EPS attributable</w:t>
            </w: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14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operations before</w:t>
            </w:r>
          </w:p>
        </w:tc>
        <w:tc>
          <w:tcPr>
            <w:tcW w:w="1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attributable to</w:t>
            </w:r>
          </w:p>
        </w:tc>
        <w:tc>
          <w:tcPr>
            <w:tcW w:w="120" w:type="dxa"/>
            <w:vAlign w:val="bottom"/>
          </w:tcPr>
          <w:p>
            <w:pPr>
              <w:spacing w:after="0"/>
              <w:rPr>
                <w:sz w:val="12"/>
                <w:szCs w:val="12"/>
                <w:color w:val="auto"/>
              </w:rPr>
            </w:pPr>
          </w:p>
        </w:tc>
        <w:tc>
          <w:tcPr>
            <w:tcW w:w="14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attributable to AMC</w:t>
            </w:r>
          </w:p>
        </w:tc>
        <w:tc>
          <w:tcPr>
            <w:tcW w:w="140" w:type="dxa"/>
            <w:vAlign w:val="bottom"/>
          </w:tcPr>
          <w:p>
            <w:pPr>
              <w:spacing w:after="0"/>
              <w:rPr>
                <w:sz w:val="12"/>
                <w:szCs w:val="12"/>
                <w:color w:val="auto"/>
              </w:rPr>
            </w:pPr>
          </w:p>
        </w:tc>
        <w:tc>
          <w:tcPr>
            <w:tcW w:w="1300" w:type="dxa"/>
            <w:vAlign w:val="bottom"/>
          </w:tcPr>
          <w:p>
            <w:pPr>
              <w:jc w:val="right"/>
              <w:ind w:right="101"/>
              <w:spacing w:after="0" w:line="149" w:lineRule="exact"/>
              <w:rPr>
                <w:sz w:val="20"/>
                <w:szCs w:val="20"/>
                <w:color w:val="auto"/>
              </w:rPr>
            </w:pPr>
            <w:r>
              <w:rPr>
                <w:rFonts w:ascii="Times New Roman" w:cs="Times New Roman" w:eastAsia="Times New Roman" w:hAnsi="Times New Roman"/>
                <w:sz w:val="14"/>
                <w:szCs w:val="14"/>
                <w:color w:val="auto"/>
              </w:rPr>
              <w:t>to AMC Networks'</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income taxes</w:t>
            </w:r>
          </w:p>
        </w:tc>
        <w:tc>
          <w:tcPr>
            <w:tcW w:w="100" w:type="dxa"/>
            <w:vAlign w:val="bottom"/>
          </w:tcPr>
          <w:p>
            <w:pPr>
              <w:spacing w:after="0"/>
              <w:rPr>
                <w:sz w:val="17"/>
                <w:szCs w:val="17"/>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benefit</w:t>
            </w:r>
          </w:p>
        </w:tc>
        <w:tc>
          <w:tcPr>
            <w:tcW w:w="15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color w:val="auto"/>
              </w:rPr>
              <w:t>noncontrolling interests</w:t>
            </w:r>
          </w:p>
        </w:tc>
        <w:tc>
          <w:tcPr>
            <w:tcW w:w="15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color w:val="auto"/>
              </w:rPr>
              <w:t>Networks' stockholders</w:t>
            </w:r>
          </w:p>
        </w:tc>
        <w:tc>
          <w:tcPr>
            <w:tcW w:w="140" w:type="dxa"/>
            <w:vAlign w:val="bottom"/>
          </w:tcPr>
          <w:p>
            <w:pPr>
              <w:spacing w:after="0"/>
              <w:rPr>
                <w:sz w:val="17"/>
                <w:szCs w:val="17"/>
                <w:color w:val="auto"/>
              </w:rPr>
            </w:pPr>
          </w:p>
        </w:tc>
        <w:tc>
          <w:tcPr>
            <w:tcW w:w="1300" w:type="dxa"/>
            <w:vAlign w:val="bottom"/>
          </w:tcPr>
          <w:p>
            <w:pPr>
              <w:jc w:val="right"/>
              <w:ind w:right="281"/>
              <w:spacing w:after="0"/>
              <w:rPr>
                <w:sz w:val="20"/>
                <w:szCs w:val="20"/>
                <w:color w:val="auto"/>
              </w:rPr>
            </w:pPr>
            <w:r>
              <w:rPr>
                <w:rFonts w:ascii="Times New Roman" w:cs="Times New Roman" w:eastAsia="Times New Roman" w:hAnsi="Times New Roman"/>
                <w:sz w:val="14"/>
                <w:szCs w:val="14"/>
                <w:color w:val="auto"/>
              </w:rPr>
              <w:t>stockholders</w:t>
            </w:r>
          </w:p>
        </w:tc>
        <w:tc>
          <w:tcPr>
            <w:tcW w:w="0" w:type="dxa"/>
            <w:vAlign w:val="bottom"/>
          </w:tcPr>
          <w:p>
            <w:pPr>
              <w:spacing w:after="0"/>
              <w:rPr>
                <w:sz w:val="1"/>
                <w:szCs w:val="1"/>
                <w:color w:val="auto"/>
              </w:rPr>
            </w:pPr>
          </w:p>
        </w:tc>
      </w:tr>
      <w:tr>
        <w:trPr>
          <w:trHeight w:val="210"/>
        </w:trPr>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(423,516)</w:t>
            </w:r>
          </w:p>
        </w:tc>
        <w:tc>
          <w:tcPr>
            <w:tcW w:w="1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144,098</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14,729</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(264,689)</w:t>
            </w:r>
          </w:p>
        </w:tc>
        <w:tc>
          <w:tcPr>
            <w:tcW w:w="100" w:type="dxa"/>
            <w:vAlign w:val="bottom"/>
          </w:tcPr>
          <w:p>
            <w:pPr>
              <w:spacing w:after="0"/>
              <w:rPr>
                <w:sz w:val="18"/>
                <w:szCs w:val="18"/>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0" w:type="dxa"/>
            <w:vAlign w:val="bottom"/>
          </w:tcPr>
          <w:p>
            <w:pPr>
              <w:spacing w:after="0"/>
              <w:rPr>
                <w:sz w:val="1"/>
                <w:szCs w:val="1"/>
                <w:color w:val="auto"/>
              </w:rPr>
            </w:pPr>
          </w:p>
        </w:tc>
      </w:tr>
      <w:tr>
        <w:trPr>
          <w:trHeight w:val="513"/>
        </w:trPr>
        <w:tc>
          <w:tcPr>
            <w:tcW w:w="1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10,274</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0" w:type="dxa"/>
            <w:vAlign w:val="bottom"/>
          </w:tcPr>
          <w:p>
            <w:pPr>
              <w:spacing w:after="0"/>
              <w:rPr>
                <w:sz w:val="1"/>
                <w:szCs w:val="1"/>
                <w:color w:val="auto"/>
              </w:rPr>
            </w:pPr>
          </w:p>
        </w:tc>
      </w:tr>
      <w:tr>
        <w:trPr>
          <w:trHeight w:val="297"/>
        </w:trPr>
        <w:tc>
          <w:tcPr>
            <w:tcW w:w="1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448,966</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(99,285)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(21,846)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327,835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0.94</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97"/>
        </w:trPr>
        <w:tc>
          <w:tcPr>
            <w:tcW w:w="140" w:type="dxa"/>
            <w:vAlign w:val="bottom"/>
          </w:tcPr>
          <w:p>
            <w:pPr>
              <w:spacing w:after="0"/>
              <w:rPr>
                <w:sz w:val="24"/>
                <w:szCs w:val="24"/>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0" w:type="dxa"/>
            <w:vAlign w:val="bottom"/>
          </w:tcPr>
          <w:p>
            <w:pPr>
              <w:spacing w:after="0"/>
              <w:rPr>
                <w:sz w:val="1"/>
                <w:szCs w:val="1"/>
                <w:color w:val="auto"/>
              </w:rPr>
            </w:pPr>
          </w:p>
        </w:tc>
      </w:tr>
      <w:tr>
        <w:trPr>
          <w:trHeight w:val="87"/>
        </w:trPr>
        <w:tc>
          <w:tcPr>
            <w:tcW w:w="14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7"/>
        </w:trPr>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76,441</w:t>
            </w:r>
          </w:p>
        </w:tc>
        <w:tc>
          <w:tcPr>
            <w:tcW w:w="1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42,902</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(8,797)</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110,546</w:t>
            </w:r>
          </w:p>
        </w:tc>
        <w:tc>
          <w:tcPr>
            <w:tcW w:w="100" w:type="dxa"/>
            <w:vAlign w:val="bottom"/>
          </w:tcPr>
          <w:p>
            <w:pPr>
              <w:spacing w:after="0"/>
              <w:rPr>
                <w:sz w:val="17"/>
                <w:szCs w:val="17"/>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0" w:type="dxa"/>
            <w:vAlign w:val="bottom"/>
          </w:tcPr>
          <w:p>
            <w:pPr>
              <w:spacing w:after="0"/>
              <w:rPr>
                <w:sz w:val="1"/>
                <w:szCs w:val="1"/>
                <w:color w:val="auto"/>
              </w:rPr>
            </w:pPr>
          </w:p>
        </w:tc>
      </w:tr>
      <w:tr>
        <w:trPr>
          <w:trHeight w:val="23"/>
        </w:trPr>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-2190750</wp:posOffset>
            </wp:positionH>
            <wp:positionV relativeFrom="paragraph">
              <wp:posOffset>-1353820</wp:posOffset>
            </wp:positionV>
            <wp:extent cx="7080885"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0885" cy="145415"/>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-1071245</wp:posOffset>
            </wp:positionV>
            <wp:extent cx="7080885" cy="2400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0885" cy="240030"/>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-693420</wp:posOffset>
            </wp:positionV>
            <wp:extent cx="7080885"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80885" cy="137160"/>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-419735</wp:posOffset>
            </wp:positionV>
            <wp:extent cx="7080885" cy="2400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0885" cy="2400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40" w:space="260"/>
            <w:col w:w="7740"/>
          </w:cols>
          <w:pgMar w:left="320" w:top="1094" w:right="339" w:bottom="1440" w:gutter="0" w:footer="0" w:header="0"/>
        </w:sectPr>
      </w:pPr>
    </w:p>
    <w:p>
      <w:pPr>
        <w:spacing w:after="0" w:line="205" w:lineRule="exact"/>
        <w:rPr>
          <w:sz w:val="20"/>
          <w:szCs w:val="20"/>
          <w:color w:val="auto"/>
        </w:rPr>
      </w:pPr>
    </w:p>
    <w:p>
      <w:pPr>
        <w:jc w:val="both"/>
        <w:ind w:firstLine="8"/>
        <w:spacing w:after="0" w:line="254" w:lineRule="auto"/>
        <w:tabs>
          <w:tab w:leader="none" w:pos="229"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474747"/>
        </w:rPr>
        <w:t>For the reconciliation of Adjusted EPS to GAAP EPS, the item “Dilutive share basis difference - GAAP vs. Adjusted” represents the impact of the adjustments from a net loss to net income position, which required a change in the dilutive shares outstanding to reflect additional dilutive shares associated with restricted stock units that were considered anti-dilutive on a GAAP basis.</w:t>
      </w:r>
    </w:p>
    <w:p>
      <w:pPr>
        <w:spacing w:after="0" w:line="200" w:lineRule="exact"/>
        <w:rPr>
          <w:sz w:val="20"/>
          <w:szCs w:val="20"/>
          <w:color w:val="auto"/>
        </w:rPr>
      </w:pPr>
    </w:p>
    <w:p>
      <w:pPr>
        <w:spacing w:after="0" w:line="280"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4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580" w:type="dxa"/>
            <w:vAlign w:val="bottom"/>
            <w:tcBorders>
              <w:bottom w:val="single" w:sz="8" w:color="auto"/>
            </w:tcBorders>
            <w:gridSpan w:val="8"/>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Three Months Ended December 31, 2021</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3460" w:type="dxa"/>
            <w:vAlign w:val="bottom"/>
          </w:tcPr>
          <w:p>
            <w:pPr>
              <w:spacing w:after="0"/>
              <w:rPr>
                <w:sz w:val="11"/>
                <w:szCs w:val="11"/>
                <w:color w:val="auto"/>
              </w:rPr>
            </w:pPr>
          </w:p>
        </w:tc>
        <w:tc>
          <w:tcPr>
            <w:tcW w:w="15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Income from operations</w:t>
            </w:r>
          </w:p>
        </w:tc>
        <w:tc>
          <w:tcPr>
            <w:tcW w:w="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gridSpan w:val="2"/>
          </w:tcPr>
          <w:p>
            <w:pPr>
              <w:jc w:val="center"/>
              <w:ind w:right="280"/>
              <w:spacing w:after="0" w:line="132" w:lineRule="exact"/>
              <w:rPr>
                <w:sz w:val="20"/>
                <w:szCs w:val="20"/>
                <w:color w:val="auto"/>
              </w:rPr>
            </w:pPr>
            <w:r>
              <w:rPr>
                <w:rFonts w:ascii="Times New Roman" w:cs="Times New Roman" w:eastAsia="Times New Roman" w:hAnsi="Times New Roman"/>
                <w:sz w:val="14"/>
                <w:szCs w:val="14"/>
                <w:color w:val="auto"/>
              </w:rPr>
              <w:t>Net (income) loss</w:t>
            </w:r>
          </w:p>
        </w:tc>
        <w:tc>
          <w:tcPr>
            <w:tcW w:w="1560" w:type="dxa"/>
            <w:vAlign w:val="bottom"/>
            <w:gridSpan w:val="3"/>
          </w:tcPr>
          <w:p>
            <w:pPr>
              <w:jc w:val="center"/>
              <w:ind w:right="120"/>
              <w:spacing w:after="0" w:line="132" w:lineRule="exact"/>
              <w:rPr>
                <w:sz w:val="20"/>
                <w:szCs w:val="20"/>
                <w:color w:val="auto"/>
              </w:rPr>
            </w:pPr>
            <w:r>
              <w:rPr>
                <w:rFonts w:ascii="Times New Roman" w:cs="Times New Roman" w:eastAsia="Times New Roman" w:hAnsi="Times New Roman"/>
                <w:sz w:val="14"/>
                <w:szCs w:val="14"/>
                <w:color w:val="auto"/>
              </w:rPr>
              <w:t>Net income attributable</w:t>
            </w:r>
          </w:p>
        </w:tc>
        <w:tc>
          <w:tcPr>
            <w:tcW w:w="1460" w:type="dxa"/>
            <w:vAlign w:val="bottom"/>
            <w:gridSpan w:val="2"/>
          </w:tcPr>
          <w:p>
            <w:pPr>
              <w:ind w:left="20"/>
              <w:spacing w:after="0" w:line="132" w:lineRule="exact"/>
              <w:rPr>
                <w:sz w:val="20"/>
                <w:szCs w:val="20"/>
                <w:color w:val="auto"/>
              </w:rPr>
            </w:pPr>
            <w:r>
              <w:rPr>
                <w:rFonts w:ascii="Times New Roman" w:cs="Times New Roman" w:eastAsia="Times New Roman" w:hAnsi="Times New Roman"/>
                <w:sz w:val="14"/>
                <w:szCs w:val="14"/>
                <w:color w:val="auto"/>
              </w:rPr>
              <w:t>Diluted EPS attributable</w:t>
            </w: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160" w:type="dxa"/>
            <w:vAlign w:val="bottom"/>
          </w:tcPr>
          <w:p>
            <w:pPr>
              <w:spacing w:after="0"/>
              <w:rPr>
                <w:sz w:val="12"/>
                <w:szCs w:val="12"/>
                <w:color w:val="auto"/>
              </w:rPr>
            </w:pPr>
          </w:p>
        </w:tc>
        <w:tc>
          <w:tcPr>
            <w:tcW w:w="14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attributable to</w:t>
            </w:r>
          </w:p>
        </w:tc>
        <w:tc>
          <w:tcPr>
            <w:tcW w:w="14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to AMC Networks'</w:t>
            </w:r>
          </w:p>
        </w:tc>
        <w:tc>
          <w:tcPr>
            <w:tcW w:w="140" w:type="dxa"/>
            <w:vAlign w:val="bottom"/>
          </w:tcPr>
          <w:p>
            <w:pPr>
              <w:spacing w:after="0"/>
              <w:rPr>
                <w:sz w:val="12"/>
                <w:szCs w:val="12"/>
                <w:color w:val="auto"/>
              </w:rPr>
            </w:pPr>
          </w:p>
        </w:tc>
        <w:tc>
          <w:tcPr>
            <w:tcW w:w="1320" w:type="dxa"/>
            <w:vAlign w:val="bottom"/>
          </w:tcPr>
          <w:p>
            <w:pPr>
              <w:jc w:val="right"/>
              <w:ind w:right="101"/>
              <w:spacing w:after="0" w:line="149" w:lineRule="exact"/>
              <w:rPr>
                <w:sz w:val="20"/>
                <w:szCs w:val="20"/>
                <w:color w:val="auto"/>
              </w:rPr>
            </w:pPr>
            <w:r>
              <w:rPr>
                <w:rFonts w:ascii="Times New Roman" w:cs="Times New Roman" w:eastAsia="Times New Roman" w:hAnsi="Times New Roman"/>
                <w:sz w:val="14"/>
                <w:szCs w:val="14"/>
                <w:color w:val="auto"/>
              </w:rPr>
              <w:t>to AMC Networks'</w:t>
            </w:r>
          </w:p>
        </w:tc>
        <w:tc>
          <w:tcPr>
            <w:tcW w:w="0" w:type="dxa"/>
            <w:vAlign w:val="bottom"/>
          </w:tcPr>
          <w:p>
            <w:pPr>
              <w:spacing w:after="0"/>
              <w:rPr>
                <w:sz w:val="1"/>
                <w:szCs w:val="1"/>
                <w:color w:val="auto"/>
              </w:rPr>
            </w:pPr>
          </w:p>
        </w:tc>
      </w:tr>
      <w:tr>
        <w:trPr>
          <w:trHeight w:val="196"/>
        </w:trPr>
        <w:tc>
          <w:tcPr>
            <w:tcW w:w="3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before income taxes</w:t>
            </w:r>
          </w:p>
        </w:tc>
        <w:tc>
          <w:tcPr>
            <w:tcW w:w="120" w:type="dxa"/>
            <w:vAlign w:val="bottom"/>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15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color w:val="auto"/>
              </w:rPr>
              <w:t>noncontrolling interests</w:t>
            </w:r>
          </w:p>
        </w:tc>
        <w:tc>
          <w:tcPr>
            <w:tcW w:w="14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stockholders</w:t>
            </w:r>
          </w:p>
        </w:tc>
        <w:tc>
          <w:tcPr>
            <w:tcW w:w="140" w:type="dxa"/>
            <w:vAlign w:val="bottom"/>
          </w:tcPr>
          <w:p>
            <w:pPr>
              <w:spacing w:after="0"/>
              <w:rPr>
                <w:sz w:val="17"/>
                <w:szCs w:val="17"/>
                <w:color w:val="auto"/>
              </w:rPr>
            </w:pPr>
          </w:p>
        </w:tc>
        <w:tc>
          <w:tcPr>
            <w:tcW w:w="1320" w:type="dxa"/>
            <w:vAlign w:val="bottom"/>
          </w:tcPr>
          <w:p>
            <w:pPr>
              <w:jc w:val="right"/>
              <w:ind w:right="301"/>
              <w:spacing w:after="0"/>
              <w:rPr>
                <w:sz w:val="20"/>
                <w:szCs w:val="20"/>
                <w:color w:val="auto"/>
              </w:rPr>
            </w:pPr>
            <w:r>
              <w:rPr>
                <w:rFonts w:ascii="Times New Roman" w:cs="Times New Roman" w:eastAsia="Times New Roman" w:hAnsi="Times New Roman"/>
                <w:sz w:val="14"/>
                <w:szCs w:val="14"/>
                <w:color w:val="auto"/>
              </w:rPr>
              <w:t>stockholders</w:t>
            </w:r>
          </w:p>
        </w:tc>
        <w:tc>
          <w:tcPr>
            <w:tcW w:w="0" w:type="dxa"/>
            <w:vAlign w:val="bottom"/>
          </w:tcPr>
          <w:p>
            <w:pPr>
              <w:spacing w:after="0"/>
              <w:rPr>
                <w:sz w:val="1"/>
                <w:szCs w:val="1"/>
                <w:color w:val="auto"/>
              </w:rPr>
            </w:pPr>
          </w:p>
        </w:tc>
      </w:tr>
      <w:tr>
        <w:trPr>
          <w:trHeight w:val="216"/>
        </w:trPr>
        <w:tc>
          <w:tcPr>
            <w:tcW w:w="346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Reported Results (GAAP)</w:t>
            </w: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40,442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(16,413)</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17,039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0.39</w:t>
            </w:r>
          </w:p>
        </w:tc>
        <w:tc>
          <w:tcPr>
            <w:tcW w:w="0" w:type="dxa"/>
            <w:vAlign w:val="bottom"/>
          </w:tcPr>
          <w:p>
            <w:pPr>
              <w:spacing w:after="0"/>
              <w:rPr>
                <w:sz w:val="1"/>
                <w:szCs w:val="1"/>
                <w:color w:val="auto"/>
              </w:rPr>
            </w:pPr>
          </w:p>
        </w:tc>
      </w:tr>
      <w:tr>
        <w:trPr>
          <w:trHeight w:val="213"/>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46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Amortization of acquisition-related intangible</w:t>
            </w:r>
          </w:p>
        </w:tc>
        <w:tc>
          <w:tcPr>
            <w:tcW w:w="10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9,995</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(1,613)</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(2,952)</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0.12</w:t>
            </w:r>
          </w:p>
        </w:tc>
        <w:tc>
          <w:tcPr>
            <w:tcW w:w="0" w:type="dxa"/>
            <w:vAlign w:val="bottom"/>
          </w:tcPr>
          <w:p>
            <w:pPr>
              <w:spacing w:after="0"/>
              <w:rPr>
                <w:sz w:val="1"/>
                <w:szCs w:val="1"/>
                <w:color w:val="auto"/>
              </w:rPr>
            </w:pPr>
          </w:p>
        </w:tc>
      </w:tr>
      <w:tr>
        <w:trPr>
          <w:trHeight w:val="129"/>
        </w:trPr>
        <w:tc>
          <w:tcPr>
            <w:tcW w:w="346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assets</w:t>
            </w:r>
          </w:p>
        </w:tc>
        <w:tc>
          <w:tcPr>
            <w:tcW w:w="100" w:type="dxa"/>
            <w:vAlign w:val="bottom"/>
            <w:shd w:val="clear" w:color="auto" w:fill="CCEEFF"/>
          </w:tcPr>
          <w:p>
            <w:pPr>
              <w:spacing w:after="0"/>
              <w:rPr>
                <w:sz w:val="11"/>
                <w:szCs w:val="11"/>
                <w:color w:val="auto"/>
              </w:rPr>
            </w:pPr>
          </w:p>
        </w:tc>
        <w:tc>
          <w:tcPr>
            <w:tcW w:w="134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2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0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0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346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3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3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3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3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Restructuring and other related charges</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219"/>
        </w:trPr>
        <w:tc>
          <w:tcPr>
            <w:tcW w:w="3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Impairment and other charges</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0.02</w:t>
            </w:r>
          </w:p>
        </w:tc>
        <w:tc>
          <w:tcPr>
            <w:tcW w:w="0" w:type="dxa"/>
            <w:vAlign w:val="bottom"/>
          </w:tcPr>
          <w:p>
            <w:pPr>
              <w:spacing w:after="0"/>
              <w:rPr>
                <w:sz w:val="1"/>
                <w:szCs w:val="1"/>
                <w:color w:val="auto"/>
              </w:rPr>
            </w:pPr>
          </w:p>
        </w:tc>
      </w:tr>
      <w:tr>
        <w:trPr>
          <w:trHeight w:val="213"/>
        </w:trPr>
        <w:tc>
          <w:tcPr>
            <w:tcW w:w="3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0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5"/>
        </w:trPr>
        <w:tc>
          <w:tcPr>
            <w:tcW w:w="3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Results (Non-GAAP)</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51,918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(18,249)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(9,942)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23,727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0.54</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094" w:right="339" w:bottom="1440" w:gutter="0" w:footer="0" w:header="0"/>
          <w:type w:val="continuous"/>
        </w:sectPr>
      </w:pPr>
    </w:p>
    <w:bookmarkStart w:id="15" w:name="page16"/>
    <w:bookmarkEnd w:id="1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Adjusted Earnings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Reported Results (GAAP)</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Adjustments:</w:t>
      </w:r>
    </w:p>
    <w:p>
      <w:pPr>
        <w:spacing w:after="0" w:line="32" w:lineRule="exact"/>
        <w:rPr>
          <w:sz w:val="20"/>
          <w:szCs w:val="20"/>
          <w:color w:val="auto"/>
        </w:rPr>
      </w:pPr>
    </w:p>
    <w:p>
      <w:pPr>
        <w:ind w:left="200"/>
        <w:spacing w:after="0" w:line="245" w:lineRule="auto"/>
        <w:rPr>
          <w:sz w:val="20"/>
          <w:szCs w:val="20"/>
          <w:color w:val="auto"/>
        </w:rPr>
      </w:pPr>
      <w:r>
        <w:rPr>
          <w:rFonts w:ascii="Times New Roman" w:cs="Times New Roman" w:eastAsia="Times New Roman" w:hAnsi="Times New Roman"/>
          <w:sz w:val="16"/>
          <w:szCs w:val="16"/>
          <w:color w:val="auto"/>
        </w:rPr>
        <w:t>Amortization of acquisition-related intangible assets</w:t>
      </w:r>
    </w:p>
    <w:p>
      <w:pPr>
        <w:spacing w:after="0" w:line="2" w:lineRule="exact"/>
        <w:rPr>
          <w:sz w:val="20"/>
          <w:szCs w:val="20"/>
          <w:color w:val="auto"/>
        </w:rPr>
      </w:pPr>
    </w:p>
    <w:p>
      <w:pPr>
        <w:ind w:left="200" w:right="420"/>
        <w:spacing w:after="0" w:line="281" w:lineRule="auto"/>
        <w:rPr>
          <w:sz w:val="20"/>
          <w:szCs w:val="20"/>
          <w:color w:val="auto"/>
        </w:rPr>
      </w:pPr>
      <w:r>
        <w:rPr>
          <w:rFonts w:ascii="Times New Roman" w:cs="Times New Roman" w:eastAsia="Times New Roman" w:hAnsi="Times New Roman"/>
          <w:sz w:val="16"/>
          <w:szCs w:val="16"/>
          <w:color w:val="auto"/>
        </w:rPr>
        <w:t>Restructuring and other related charges Impairment and other charges</w:t>
      </w:r>
    </w:p>
    <w:p>
      <w:pPr>
        <w:spacing w:after="0" w:line="1" w:lineRule="exact"/>
        <w:rPr>
          <w:sz w:val="20"/>
          <w:szCs w:val="20"/>
          <w:color w:val="auto"/>
        </w:rPr>
      </w:pPr>
    </w:p>
    <w:p>
      <w:pPr>
        <w:ind w:right="920" w:firstLine="203"/>
        <w:spacing w:after="0" w:line="333" w:lineRule="auto"/>
        <w:rPr>
          <w:sz w:val="20"/>
          <w:szCs w:val="20"/>
          <w:color w:val="auto"/>
        </w:rPr>
      </w:pPr>
      <w:r>
        <w:rPr>
          <w:rFonts w:ascii="Times New Roman" w:cs="Times New Roman" w:eastAsia="Times New Roman" w:hAnsi="Times New Roman"/>
          <w:sz w:val="16"/>
          <w:szCs w:val="16"/>
          <w:color w:val="auto"/>
        </w:rPr>
        <w:t>Loss on extinguishment of debt Adjusted Results (Non-GAAP)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Reported Results (GAAP)</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Adjustments:</w:t>
      </w:r>
    </w:p>
    <w:p>
      <w:pPr>
        <w:spacing w:after="0" w:line="32" w:lineRule="exact"/>
        <w:rPr>
          <w:sz w:val="20"/>
          <w:szCs w:val="20"/>
          <w:color w:val="auto"/>
        </w:rPr>
      </w:pPr>
    </w:p>
    <w:p>
      <w:pPr>
        <w:ind w:left="200"/>
        <w:spacing w:after="0" w:line="245" w:lineRule="auto"/>
        <w:rPr>
          <w:sz w:val="20"/>
          <w:szCs w:val="20"/>
          <w:color w:val="auto"/>
        </w:rPr>
      </w:pPr>
      <w:r>
        <w:rPr>
          <w:rFonts w:ascii="Times New Roman" w:cs="Times New Roman" w:eastAsia="Times New Roman" w:hAnsi="Times New Roman"/>
          <w:sz w:val="16"/>
          <w:szCs w:val="16"/>
          <w:color w:val="auto"/>
        </w:rPr>
        <w:t>Amortization of acquisition-related intangible assets</w:t>
      </w:r>
    </w:p>
    <w:p>
      <w:pPr>
        <w:spacing w:after="0" w:line="2" w:lineRule="exact"/>
        <w:rPr>
          <w:sz w:val="20"/>
          <w:szCs w:val="20"/>
          <w:color w:val="auto"/>
        </w:rPr>
      </w:pPr>
    </w:p>
    <w:p>
      <w:pPr>
        <w:ind w:left="200" w:right="440"/>
        <w:spacing w:after="0" w:line="281" w:lineRule="auto"/>
        <w:rPr>
          <w:sz w:val="20"/>
          <w:szCs w:val="20"/>
          <w:color w:val="auto"/>
        </w:rPr>
      </w:pPr>
      <w:r>
        <w:rPr>
          <w:rFonts w:ascii="Times New Roman" w:cs="Times New Roman" w:eastAsia="Times New Roman" w:hAnsi="Times New Roman"/>
          <w:sz w:val="16"/>
          <w:szCs w:val="16"/>
          <w:color w:val="auto"/>
        </w:rPr>
        <w:t>Restructuring and other related charges Impairment and other charges</w:t>
      </w:r>
    </w:p>
    <w:p>
      <w:pPr>
        <w:spacing w:after="0" w:line="1" w:lineRule="exact"/>
        <w:rPr>
          <w:sz w:val="20"/>
          <w:szCs w:val="20"/>
          <w:color w:val="auto"/>
        </w:rPr>
      </w:pPr>
    </w:p>
    <w:p>
      <w:pPr>
        <w:ind w:right="940" w:firstLine="203"/>
        <w:spacing w:after="0" w:line="333" w:lineRule="auto"/>
        <w:rPr>
          <w:sz w:val="20"/>
          <w:szCs w:val="20"/>
          <w:color w:val="auto"/>
        </w:rPr>
      </w:pPr>
      <w:r>
        <w:rPr>
          <w:rFonts w:ascii="Times New Roman" w:cs="Times New Roman" w:eastAsia="Times New Roman" w:hAnsi="Times New Roman"/>
          <w:sz w:val="16"/>
          <w:szCs w:val="16"/>
          <w:color w:val="auto"/>
        </w:rPr>
        <w:t>Loss on extinguishment of debt Adjusted Results (Non-GAAP)</w:t>
      </w:r>
    </w:p>
    <w:p>
      <w:pPr>
        <w:spacing w:after="0" w:line="20" w:lineRule="exact"/>
        <w:rPr>
          <w:sz w:val="20"/>
          <w:szCs w:val="20"/>
          <w:color w:val="auto"/>
        </w:rPr>
      </w:pPr>
      <w:r>
        <w:rPr>
          <w:sz w:val="20"/>
          <w:szCs w:val="20"/>
          <w:color w:val="auto"/>
        </w:rPr>
        <w:br w:type="column"/>
      </w:r>
    </w:p>
    <w:p>
      <w:pPr>
        <w:jc w:val="center"/>
        <w:ind w:right="3480"/>
        <w:spacing w:after="0"/>
        <w:rPr>
          <w:sz w:val="20"/>
          <w:szCs w:val="20"/>
          <w:color w:val="auto"/>
        </w:rPr>
      </w:pPr>
      <w:r>
        <w:rPr>
          <w:rFonts w:ascii="Times New Roman" w:cs="Times New Roman" w:eastAsia="Times New Roman" w:hAnsi="Times New Roman"/>
          <w:sz w:val="22"/>
          <w:szCs w:val="22"/>
          <w:b w:val="1"/>
          <w:bCs w:val="1"/>
          <w:color w:val="auto"/>
        </w:rPr>
        <w:t>AMC NETWORKS INC.</w:t>
      </w:r>
    </w:p>
    <w:p>
      <w:pPr>
        <w:spacing w:after="0" w:line="24" w:lineRule="exact"/>
        <w:rPr>
          <w:sz w:val="20"/>
          <w:szCs w:val="20"/>
          <w:color w:val="auto"/>
        </w:rPr>
      </w:pPr>
    </w:p>
    <w:p>
      <w:pPr>
        <w:jc w:val="center"/>
        <w:ind w:right="3480"/>
        <w:spacing w:after="0"/>
        <w:rPr>
          <w:sz w:val="20"/>
          <w:szCs w:val="20"/>
          <w:color w:val="auto"/>
        </w:rPr>
      </w:pPr>
      <w:r>
        <w:rPr>
          <w:rFonts w:ascii="Times New Roman" w:cs="Times New Roman" w:eastAsia="Times New Roman" w:hAnsi="Times New Roman"/>
          <w:sz w:val="22"/>
          <w:szCs w:val="22"/>
          <w:b w:val="1"/>
          <w:bCs w:val="1"/>
          <w:color w:val="auto"/>
        </w:rPr>
        <w:t>SUPPLEMENTAL FINANCIAL DATA</w:t>
      </w:r>
    </w:p>
    <w:p>
      <w:pPr>
        <w:jc w:val="center"/>
        <w:ind w:right="3480"/>
        <w:spacing w:after="0"/>
        <w:rPr>
          <w:sz w:val="20"/>
          <w:szCs w:val="20"/>
          <w:color w:val="auto"/>
        </w:rPr>
      </w:pPr>
      <w:r>
        <w:rPr>
          <w:rFonts w:ascii="Times New Roman" w:cs="Times New Roman" w:eastAsia="Times New Roman" w:hAnsi="Times New Roman"/>
          <w:sz w:val="20"/>
          <w:szCs w:val="20"/>
          <w:b w:val="1"/>
          <w:bCs w:val="1"/>
          <w:color w:val="auto"/>
        </w:rPr>
        <w:t>(Dollars in thousands, except per share amounts)</w:t>
      </w:r>
    </w:p>
    <w:p>
      <w:pPr>
        <w:spacing w:after="0" w:line="6" w:lineRule="exact"/>
        <w:rPr>
          <w:sz w:val="20"/>
          <w:szCs w:val="20"/>
          <w:color w:val="auto"/>
        </w:rPr>
      </w:pPr>
    </w:p>
    <w:p>
      <w:pPr>
        <w:jc w:val="center"/>
        <w:ind w:right="3480"/>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Twelve Months Ended December 31, 2022</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14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color w:val="auto"/>
              </w:rPr>
              <w:t>Income (loss) from</w:t>
            </w:r>
          </w:p>
        </w:tc>
        <w:tc>
          <w:tcPr>
            <w:tcW w:w="10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Income tax (expense)</w:t>
            </w:r>
          </w:p>
        </w:tc>
        <w:tc>
          <w:tcPr>
            <w:tcW w:w="16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color w:val="auto"/>
              </w:rPr>
              <w:t>Net (income) loss</w:t>
            </w:r>
          </w:p>
        </w:tc>
        <w:tc>
          <w:tcPr>
            <w:tcW w:w="1540" w:type="dxa"/>
            <w:vAlign w:val="bottom"/>
            <w:tcBorders>
              <w:top w:val="single" w:sz="8" w:color="auto"/>
            </w:tcBorders>
            <w:gridSpan w:val="3"/>
          </w:tcPr>
          <w:p>
            <w:pPr>
              <w:jc w:val="center"/>
              <w:ind w:right="100"/>
              <w:spacing w:after="0" w:line="135" w:lineRule="exact"/>
              <w:rPr>
                <w:sz w:val="20"/>
                <w:szCs w:val="20"/>
                <w:color w:val="auto"/>
              </w:rPr>
            </w:pPr>
            <w:r>
              <w:rPr>
                <w:rFonts w:ascii="Times New Roman" w:cs="Times New Roman" w:eastAsia="Times New Roman" w:hAnsi="Times New Roman"/>
                <w:sz w:val="14"/>
                <w:szCs w:val="14"/>
                <w:color w:val="auto"/>
              </w:rPr>
              <w:t>Net income attributable</w:t>
            </w:r>
          </w:p>
        </w:tc>
        <w:tc>
          <w:tcPr>
            <w:tcW w:w="1440" w:type="dxa"/>
            <w:vAlign w:val="bottom"/>
            <w:tcBorders>
              <w:top w:val="single" w:sz="8" w:color="auto"/>
            </w:tcBorders>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Diluted EPS attributable</w:t>
            </w:r>
          </w:p>
        </w:tc>
        <w:tc>
          <w:tcPr>
            <w:tcW w:w="0" w:type="dxa"/>
            <w:vAlign w:val="bottom"/>
          </w:tcPr>
          <w:p>
            <w:pPr>
              <w:spacing w:after="0"/>
              <w:rPr>
                <w:sz w:val="1"/>
                <w:szCs w:val="1"/>
                <w:color w:val="auto"/>
              </w:rPr>
            </w:pPr>
          </w:p>
        </w:tc>
      </w:tr>
      <w:tr>
        <w:trPr>
          <w:trHeight w:val="148"/>
        </w:trPr>
        <w:tc>
          <w:tcPr>
            <w:tcW w:w="140" w:type="dxa"/>
            <w:vAlign w:val="bottom"/>
          </w:tcPr>
          <w:p>
            <w:pPr>
              <w:spacing w:after="0"/>
              <w:rPr>
                <w:sz w:val="12"/>
                <w:szCs w:val="12"/>
                <w:color w:val="auto"/>
              </w:rPr>
            </w:pPr>
          </w:p>
        </w:tc>
        <w:tc>
          <w:tcPr>
            <w:tcW w:w="14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operations before</w:t>
            </w:r>
          </w:p>
        </w:tc>
        <w:tc>
          <w:tcPr>
            <w:tcW w:w="1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attributable to</w:t>
            </w:r>
          </w:p>
        </w:tc>
        <w:tc>
          <w:tcPr>
            <w:tcW w:w="14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to AMC Networks'</w:t>
            </w:r>
          </w:p>
        </w:tc>
        <w:tc>
          <w:tcPr>
            <w:tcW w:w="140" w:type="dxa"/>
            <w:vAlign w:val="bottom"/>
          </w:tcPr>
          <w:p>
            <w:pPr>
              <w:spacing w:after="0"/>
              <w:rPr>
                <w:sz w:val="12"/>
                <w:szCs w:val="12"/>
                <w:color w:val="auto"/>
              </w:rPr>
            </w:pPr>
          </w:p>
        </w:tc>
        <w:tc>
          <w:tcPr>
            <w:tcW w:w="1300" w:type="dxa"/>
            <w:vAlign w:val="bottom"/>
          </w:tcPr>
          <w:p>
            <w:pPr>
              <w:jc w:val="right"/>
              <w:ind w:right="101"/>
              <w:spacing w:after="0" w:line="149" w:lineRule="exact"/>
              <w:rPr>
                <w:sz w:val="20"/>
                <w:szCs w:val="20"/>
                <w:color w:val="auto"/>
              </w:rPr>
            </w:pPr>
            <w:r>
              <w:rPr>
                <w:rFonts w:ascii="Times New Roman" w:cs="Times New Roman" w:eastAsia="Times New Roman" w:hAnsi="Times New Roman"/>
                <w:sz w:val="14"/>
                <w:szCs w:val="14"/>
                <w:color w:val="auto"/>
              </w:rPr>
              <w:t>to AMC Networks'</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income taxes</w:t>
            </w:r>
          </w:p>
        </w:tc>
        <w:tc>
          <w:tcPr>
            <w:tcW w:w="100" w:type="dxa"/>
            <w:vAlign w:val="bottom"/>
          </w:tcPr>
          <w:p>
            <w:pPr>
              <w:spacing w:after="0"/>
              <w:rPr>
                <w:sz w:val="17"/>
                <w:szCs w:val="17"/>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benefit</w:t>
            </w:r>
          </w:p>
        </w:tc>
        <w:tc>
          <w:tcPr>
            <w:tcW w:w="15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color w:val="auto"/>
              </w:rPr>
              <w:t>noncontrolling interests</w:t>
            </w:r>
          </w:p>
        </w:tc>
        <w:tc>
          <w:tcPr>
            <w:tcW w:w="14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stockholders</w:t>
            </w:r>
          </w:p>
        </w:tc>
        <w:tc>
          <w:tcPr>
            <w:tcW w:w="140" w:type="dxa"/>
            <w:vAlign w:val="bottom"/>
          </w:tcPr>
          <w:p>
            <w:pPr>
              <w:spacing w:after="0"/>
              <w:rPr>
                <w:sz w:val="17"/>
                <w:szCs w:val="17"/>
                <w:color w:val="auto"/>
              </w:rPr>
            </w:pPr>
          </w:p>
        </w:tc>
        <w:tc>
          <w:tcPr>
            <w:tcW w:w="1300" w:type="dxa"/>
            <w:vAlign w:val="bottom"/>
          </w:tcPr>
          <w:p>
            <w:pPr>
              <w:jc w:val="right"/>
              <w:ind w:right="281"/>
              <w:spacing w:after="0"/>
              <w:rPr>
                <w:sz w:val="20"/>
                <w:szCs w:val="20"/>
                <w:color w:val="auto"/>
              </w:rPr>
            </w:pPr>
            <w:r>
              <w:rPr>
                <w:rFonts w:ascii="Times New Roman" w:cs="Times New Roman" w:eastAsia="Times New Roman" w:hAnsi="Times New Roman"/>
                <w:sz w:val="14"/>
                <w:szCs w:val="14"/>
                <w:color w:val="auto"/>
              </w:rPr>
              <w:t>stockholders</w:t>
            </w:r>
          </w:p>
        </w:tc>
        <w:tc>
          <w:tcPr>
            <w:tcW w:w="0" w:type="dxa"/>
            <w:vAlign w:val="bottom"/>
          </w:tcPr>
          <w:p>
            <w:pPr>
              <w:spacing w:after="0"/>
              <w:rPr>
                <w:sz w:val="1"/>
                <w:szCs w:val="1"/>
                <w:color w:val="auto"/>
              </w:rPr>
            </w:pPr>
          </w:p>
        </w:tc>
      </w:tr>
      <w:tr>
        <w:trPr>
          <w:trHeight w:val="210"/>
        </w:trPr>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(29,952)</w:t>
            </w:r>
          </w:p>
        </w:tc>
        <w:tc>
          <w:tcPr>
            <w:tcW w:w="1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40,980</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(3,434)</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7,594</w:t>
            </w:r>
          </w:p>
        </w:tc>
        <w:tc>
          <w:tcPr>
            <w:tcW w:w="100" w:type="dxa"/>
            <w:vAlign w:val="bottom"/>
          </w:tcPr>
          <w:p>
            <w:pPr>
              <w:spacing w:after="0"/>
              <w:rPr>
                <w:sz w:val="18"/>
                <w:szCs w:val="18"/>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0" w:type="dxa"/>
            <w:vAlign w:val="bottom"/>
          </w:tcPr>
          <w:p>
            <w:pPr>
              <w:spacing w:after="0"/>
              <w:rPr>
                <w:sz w:val="1"/>
                <w:szCs w:val="1"/>
                <w:color w:val="auto"/>
              </w:rPr>
            </w:pPr>
          </w:p>
        </w:tc>
      </w:tr>
      <w:tr>
        <w:trPr>
          <w:trHeight w:val="513"/>
        </w:trPr>
        <w:tc>
          <w:tcPr>
            <w:tcW w:w="1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41,469</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26,676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0.61</w:t>
            </w:r>
          </w:p>
        </w:tc>
        <w:tc>
          <w:tcPr>
            <w:tcW w:w="0" w:type="dxa"/>
            <w:vAlign w:val="bottom"/>
          </w:tcPr>
          <w:p>
            <w:pPr>
              <w:spacing w:after="0"/>
              <w:rPr>
                <w:sz w:val="1"/>
                <w:szCs w:val="1"/>
                <w:color w:val="auto"/>
              </w:rPr>
            </w:pPr>
          </w:p>
        </w:tc>
      </w:tr>
      <w:tr>
        <w:trPr>
          <w:trHeight w:val="297"/>
        </w:trPr>
        <w:tc>
          <w:tcPr>
            <w:tcW w:w="1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448,966</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(99,285)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(21,846)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327,835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0.93</w:t>
            </w:r>
          </w:p>
        </w:tc>
        <w:tc>
          <w:tcPr>
            <w:tcW w:w="0" w:type="dxa"/>
            <w:vAlign w:val="bottom"/>
          </w:tcPr>
          <w:p>
            <w:pPr>
              <w:spacing w:after="0"/>
              <w:rPr>
                <w:sz w:val="1"/>
                <w:szCs w:val="1"/>
                <w:color w:val="auto"/>
              </w:rPr>
            </w:pPr>
          </w:p>
        </w:tc>
      </w:tr>
      <w:tr>
        <w:trPr>
          <w:trHeight w:val="219"/>
        </w:trPr>
        <w:tc>
          <w:tcPr>
            <w:tcW w:w="14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501,200</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(66,378)</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(32,000)</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402,822</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9.21</w:t>
            </w:r>
          </w:p>
        </w:tc>
        <w:tc>
          <w:tcPr>
            <w:tcW w:w="0" w:type="dxa"/>
            <w:vAlign w:val="bottom"/>
          </w:tcPr>
          <w:p>
            <w:pPr>
              <w:spacing w:after="0"/>
              <w:rPr>
                <w:sz w:val="1"/>
                <w:szCs w:val="1"/>
                <w:color w:val="auto"/>
              </w:rPr>
            </w:pPr>
          </w:p>
        </w:tc>
      </w:tr>
      <w:tr>
        <w:trPr>
          <w:trHeight w:val="23"/>
        </w:trPr>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-2190750</wp:posOffset>
            </wp:positionH>
            <wp:positionV relativeFrom="paragraph">
              <wp:posOffset>-1113790</wp:posOffset>
            </wp:positionV>
            <wp:extent cx="7080885"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80885" cy="145415"/>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-831215</wp:posOffset>
            </wp:positionV>
            <wp:extent cx="7080885" cy="2400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80885" cy="240030"/>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-454025</wp:posOffset>
            </wp:positionV>
            <wp:extent cx="7080885"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80885" cy="137160"/>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-179705</wp:posOffset>
            </wp:positionV>
            <wp:extent cx="7080885"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8088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Twelve Months Ended December 31, 2021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156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Income from operations</w:t>
            </w:r>
          </w:p>
        </w:tc>
        <w:tc>
          <w:tcPr>
            <w:tcW w:w="12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gridSpan w:val="2"/>
          </w:tcPr>
          <w:p>
            <w:pPr>
              <w:jc w:val="center"/>
              <w:ind w:right="280"/>
              <w:spacing w:after="0" w:line="139" w:lineRule="exact"/>
              <w:rPr>
                <w:sz w:val="20"/>
                <w:szCs w:val="20"/>
                <w:color w:val="auto"/>
              </w:rPr>
            </w:pPr>
            <w:r>
              <w:rPr>
                <w:rFonts w:ascii="Times New Roman" w:cs="Times New Roman" w:eastAsia="Times New Roman" w:hAnsi="Times New Roman"/>
                <w:sz w:val="14"/>
                <w:szCs w:val="14"/>
                <w:color w:val="auto"/>
              </w:rPr>
              <w:t>Net (income) loss</w:t>
            </w:r>
          </w:p>
        </w:tc>
        <w:tc>
          <w:tcPr>
            <w:tcW w:w="1560" w:type="dxa"/>
            <w:vAlign w:val="bottom"/>
            <w:tcBorders>
              <w:top w:val="single" w:sz="8" w:color="auto"/>
            </w:tcBorders>
            <w:gridSpan w:val="3"/>
          </w:tcPr>
          <w:p>
            <w:pPr>
              <w:jc w:val="center"/>
              <w:ind w:right="120"/>
              <w:spacing w:after="0" w:line="139" w:lineRule="exact"/>
              <w:rPr>
                <w:sz w:val="20"/>
                <w:szCs w:val="20"/>
                <w:color w:val="auto"/>
              </w:rPr>
            </w:pPr>
            <w:r>
              <w:rPr>
                <w:rFonts w:ascii="Times New Roman" w:cs="Times New Roman" w:eastAsia="Times New Roman" w:hAnsi="Times New Roman"/>
                <w:sz w:val="14"/>
                <w:szCs w:val="14"/>
                <w:color w:val="auto"/>
              </w:rPr>
              <w:t>Net income attributable</w:t>
            </w:r>
          </w:p>
        </w:tc>
        <w:tc>
          <w:tcPr>
            <w:tcW w:w="1460" w:type="dxa"/>
            <w:vAlign w:val="bottom"/>
            <w:tcBorders>
              <w:top w:val="single" w:sz="8" w:color="auto"/>
            </w:tcBorders>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Diluted EPS attributable</w:t>
            </w:r>
          </w:p>
        </w:tc>
        <w:tc>
          <w:tcPr>
            <w:tcW w:w="0" w:type="dxa"/>
            <w:vAlign w:val="bottom"/>
          </w:tcPr>
          <w:p>
            <w:pPr>
              <w:spacing w:after="0"/>
              <w:rPr>
                <w:sz w:val="1"/>
                <w:szCs w:val="1"/>
                <w:color w:val="auto"/>
              </w:rPr>
            </w:pPr>
          </w:p>
        </w:tc>
      </w:tr>
      <w:tr>
        <w:trPr>
          <w:trHeight w:val="148"/>
        </w:trPr>
        <w:tc>
          <w:tcPr>
            <w:tcW w:w="15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160" w:type="dxa"/>
            <w:vAlign w:val="bottom"/>
          </w:tcPr>
          <w:p>
            <w:pPr>
              <w:spacing w:after="0"/>
              <w:rPr>
                <w:sz w:val="12"/>
                <w:szCs w:val="12"/>
                <w:color w:val="auto"/>
              </w:rPr>
            </w:pPr>
          </w:p>
        </w:tc>
        <w:tc>
          <w:tcPr>
            <w:tcW w:w="14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attributable to</w:t>
            </w:r>
          </w:p>
        </w:tc>
        <w:tc>
          <w:tcPr>
            <w:tcW w:w="14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to AMC Networks'</w:t>
            </w:r>
          </w:p>
        </w:tc>
        <w:tc>
          <w:tcPr>
            <w:tcW w:w="140" w:type="dxa"/>
            <w:vAlign w:val="bottom"/>
          </w:tcPr>
          <w:p>
            <w:pPr>
              <w:spacing w:after="0"/>
              <w:rPr>
                <w:sz w:val="12"/>
                <w:szCs w:val="12"/>
                <w:color w:val="auto"/>
              </w:rPr>
            </w:pPr>
          </w:p>
        </w:tc>
        <w:tc>
          <w:tcPr>
            <w:tcW w:w="1320" w:type="dxa"/>
            <w:vAlign w:val="bottom"/>
          </w:tcPr>
          <w:p>
            <w:pPr>
              <w:jc w:val="right"/>
              <w:ind w:right="101"/>
              <w:spacing w:after="0" w:line="149" w:lineRule="exact"/>
              <w:rPr>
                <w:sz w:val="20"/>
                <w:szCs w:val="20"/>
                <w:color w:val="auto"/>
              </w:rPr>
            </w:pPr>
            <w:r>
              <w:rPr>
                <w:rFonts w:ascii="Times New Roman" w:cs="Times New Roman" w:eastAsia="Times New Roman" w:hAnsi="Times New Roman"/>
                <w:sz w:val="14"/>
                <w:szCs w:val="14"/>
                <w:color w:val="auto"/>
              </w:rPr>
              <w:t>to AMC Networks'</w:t>
            </w:r>
          </w:p>
        </w:tc>
        <w:tc>
          <w:tcPr>
            <w:tcW w:w="0" w:type="dxa"/>
            <w:vAlign w:val="bottom"/>
          </w:tcPr>
          <w:p>
            <w:pPr>
              <w:spacing w:after="0"/>
              <w:rPr>
                <w:sz w:val="1"/>
                <w:szCs w:val="1"/>
                <w:color w:val="auto"/>
              </w:rPr>
            </w:pPr>
          </w:p>
        </w:tc>
      </w:tr>
      <w:tr>
        <w:trPr>
          <w:trHeight w:val="193"/>
        </w:trPr>
        <w:tc>
          <w:tcPr>
            <w:tcW w:w="10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before income taxes</w:t>
            </w:r>
          </w:p>
        </w:tc>
        <w:tc>
          <w:tcPr>
            <w:tcW w:w="12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5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color w:val="auto"/>
              </w:rPr>
              <w:t>noncontrolling interests</w:t>
            </w:r>
          </w:p>
        </w:tc>
        <w:tc>
          <w:tcPr>
            <w:tcW w:w="14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stockholders</w:t>
            </w:r>
          </w:p>
        </w:tc>
        <w:tc>
          <w:tcPr>
            <w:tcW w:w="140" w:type="dxa"/>
            <w:vAlign w:val="bottom"/>
          </w:tcPr>
          <w:p>
            <w:pPr>
              <w:spacing w:after="0"/>
              <w:rPr>
                <w:sz w:val="16"/>
                <w:szCs w:val="16"/>
                <w:color w:val="auto"/>
              </w:rPr>
            </w:pPr>
          </w:p>
        </w:tc>
        <w:tc>
          <w:tcPr>
            <w:tcW w:w="1320" w:type="dxa"/>
            <w:vAlign w:val="bottom"/>
          </w:tcPr>
          <w:p>
            <w:pPr>
              <w:jc w:val="right"/>
              <w:ind w:right="301"/>
              <w:spacing w:after="0"/>
              <w:rPr>
                <w:sz w:val="20"/>
                <w:szCs w:val="20"/>
                <w:color w:val="auto"/>
              </w:rPr>
            </w:pPr>
            <w:r>
              <w:rPr>
                <w:rFonts w:ascii="Times New Roman" w:cs="Times New Roman" w:eastAsia="Times New Roman" w:hAnsi="Times New Roman"/>
                <w:sz w:val="14"/>
                <w:szCs w:val="14"/>
                <w:color w:val="auto"/>
              </w:rPr>
              <w:t>stockholders</w:t>
            </w:r>
          </w:p>
        </w:tc>
        <w:tc>
          <w:tcPr>
            <w:tcW w:w="0" w:type="dxa"/>
            <w:vAlign w:val="bottom"/>
          </w:tcPr>
          <w:p>
            <w:pPr>
              <w:spacing w:after="0"/>
              <w:rPr>
                <w:sz w:val="1"/>
                <w:szCs w:val="1"/>
                <w:color w:val="auto"/>
              </w:rPr>
            </w:pPr>
          </w:p>
        </w:tc>
      </w:tr>
      <w:tr>
        <w:trPr>
          <w:trHeight w:val="209"/>
        </w:trPr>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374,232</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(94,393)</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(29,243)</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250,596</w:t>
            </w:r>
          </w:p>
        </w:tc>
        <w:tc>
          <w:tcPr>
            <w:tcW w:w="120" w:type="dxa"/>
            <w:vAlign w:val="bottom"/>
          </w:tcPr>
          <w:p>
            <w:pPr>
              <w:spacing w:after="0"/>
              <w:rPr>
                <w:sz w:val="18"/>
                <w:szCs w:val="18"/>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5.77</w:t>
            </w:r>
          </w:p>
        </w:tc>
        <w:tc>
          <w:tcPr>
            <w:tcW w:w="0" w:type="dxa"/>
            <w:vAlign w:val="bottom"/>
          </w:tcPr>
          <w:p>
            <w:pPr>
              <w:spacing w:after="0"/>
              <w:rPr>
                <w:sz w:val="1"/>
                <w:szCs w:val="1"/>
                <w:color w:val="auto"/>
              </w:rPr>
            </w:pPr>
          </w:p>
        </w:tc>
      </w:tr>
      <w:tr>
        <w:trPr>
          <w:trHeight w:val="513"/>
        </w:trPr>
        <w:tc>
          <w:tcPr>
            <w:tcW w:w="1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39,072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(11,880)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20,918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0.48</w:t>
            </w:r>
          </w:p>
        </w:tc>
        <w:tc>
          <w:tcPr>
            <w:tcW w:w="0" w:type="dxa"/>
            <w:vAlign w:val="bottom"/>
          </w:tcPr>
          <w:p>
            <w:pPr>
              <w:spacing w:after="0"/>
              <w:rPr>
                <w:sz w:val="1"/>
                <w:szCs w:val="1"/>
                <w:color w:val="auto"/>
              </w:rPr>
            </w:pPr>
          </w:p>
        </w:tc>
      </w:tr>
      <w:tr>
        <w:trPr>
          <w:trHeight w:val="297"/>
        </w:trPr>
        <w:tc>
          <w:tcPr>
            <w:tcW w:w="1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10,378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8,577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0.20</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159,610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(37,907)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121,703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2.80</w:t>
            </w: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22,074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16,817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0.39</w:t>
            </w:r>
          </w:p>
        </w:tc>
        <w:tc>
          <w:tcPr>
            <w:tcW w:w="0" w:type="dxa"/>
            <w:vAlign w:val="bottom"/>
          </w:tcPr>
          <w:p>
            <w:pPr>
              <w:spacing w:after="0"/>
              <w:rPr>
                <w:sz w:val="1"/>
                <w:szCs w:val="1"/>
                <w:color w:val="auto"/>
              </w:rPr>
            </w:pPr>
          </w:p>
        </w:tc>
      </w:tr>
      <w:tr>
        <w:trPr>
          <w:trHeight w:val="210"/>
        </w:trPr>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605,366</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(145,644)</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(41,111)</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418,611</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9.64</w:t>
            </w:r>
          </w:p>
        </w:tc>
        <w:tc>
          <w:tcPr>
            <w:tcW w:w="0" w:type="dxa"/>
            <w:vAlign w:val="bottom"/>
          </w:tcPr>
          <w:p>
            <w:pPr>
              <w:spacing w:after="0"/>
              <w:rPr>
                <w:sz w:val="1"/>
                <w:szCs w:val="1"/>
                <w:color w:val="auto"/>
              </w:rPr>
            </w:pPr>
          </w:p>
        </w:tc>
      </w:tr>
      <w:tr>
        <w:trPr>
          <w:trHeight w:val="23"/>
        </w:trPr>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-2190750</wp:posOffset>
            </wp:positionH>
            <wp:positionV relativeFrom="paragraph">
              <wp:posOffset>-1113790</wp:posOffset>
            </wp:positionV>
            <wp:extent cx="708914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89140" cy="145415"/>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-830580</wp:posOffset>
            </wp:positionV>
            <wp:extent cx="7089140" cy="2400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89140" cy="240030"/>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-453390</wp:posOffset>
            </wp:positionV>
            <wp:extent cx="708914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89140" cy="137160"/>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-179070</wp:posOffset>
            </wp:positionV>
            <wp:extent cx="708914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89140" cy="163195"/>
                    </a:xfrm>
                    <a:prstGeom prst="rect">
                      <a:avLst/>
                    </a:prstGeom>
                    <a:noFill/>
                  </pic:spPr>
                </pic:pic>
              </a:graphicData>
            </a:graphic>
          </wp:anchor>
        </w:drawing>
      </w:r>
    </w:p>
    <w:p>
      <w:pPr>
        <w:spacing w:after="0" w:line="210" w:lineRule="exact"/>
        <w:rPr>
          <w:sz w:val="20"/>
          <w:szCs w:val="20"/>
          <w:color w:val="auto"/>
        </w:rPr>
      </w:pPr>
    </w:p>
    <w:p>
      <w:pPr>
        <w:sectPr>
          <w:pgSz w:w="11900" w:h="16838" w:orient="portrait"/>
          <w:cols w:equalWidth="0" w:num="2">
            <w:col w:w="3180" w:space="260"/>
            <w:col w:w="7720"/>
          </w:cols>
          <w:pgMar w:left="380" w:top="1094" w:right="35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13</w:t>
      </w:r>
    </w:p>
    <w:sectPr>
      <w:pgSz w:w="11900" w:h="16838" w:orient="portrait"/>
      <w:cols w:equalWidth="0" w:num="1">
        <w:col w:w="11160"/>
      </w:cols>
      <w:pgMar w:left="380" w:top="109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6">
    <w:nsid w:val="5BD062C2"/>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7">
    <w:nsid w:val="12200854"/>
    <w:multiLevelType w:val="hybridMultilevel"/>
    <w:lvl w:ilvl="0">
      <w:lvlJc w:val="left"/>
      <w:lvlText w:val="•"/>
      <w:numFmt w:val="bullet"/>
      <w:start w:val="1"/>
    </w:lvl>
    <w:lvl w:ilvl="1">
      <w:lvlJc w:val="left"/>
      <w:lvlText w:val="◦"/>
      <w:numFmt w:val="bullet"/>
      <w:start w:val="1"/>
    </w:lvl>
  </w:abstractNum>
  <w:abstractNum w:abstractNumId="8">
    <w:nsid w:val="4DB127F8"/>
    <w:multiLevelType w:val="hybridMultilevel"/>
    <w:lvl w:ilvl="0">
      <w:lvlJc w:val="left"/>
      <w:lvlText w:val="•"/>
      <w:numFmt w:val="bullet"/>
      <w:start w:val="1"/>
    </w:lvl>
    <w:lvl w:ilvl="1">
      <w:lvlJc w:val="left"/>
      <w:lvlText w:val="◦"/>
      <w:numFmt w:val="bullet"/>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2023-02-17T07:39:04Z</dcterms:created>
  <dcterms:modified xsi:type="dcterms:W3CDTF">2023-02-17T07:39:04Z</dcterms:modified>
</cp:coreProperties>
</file>